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D901" w14:textId="1909C2C1" w:rsidR="0060618C" w:rsidRPr="00E6102F" w:rsidRDefault="000325FC" w:rsidP="0060618C">
      <w:pPr>
        <w:jc w:val="right"/>
        <w:rPr>
          <w:rFonts w:cstheme="minorHAnsi"/>
          <w:sz w:val="24"/>
          <w:szCs w:val="24"/>
        </w:rPr>
      </w:pPr>
      <w:r>
        <w:rPr>
          <w:rFonts w:cstheme="minorHAnsi"/>
          <w:sz w:val="24"/>
          <w:szCs w:val="24"/>
        </w:rPr>
        <w:t>Ceres, 2</w:t>
      </w:r>
      <w:r w:rsidR="0060618C" w:rsidRPr="00E6102F">
        <w:rPr>
          <w:rFonts w:cstheme="minorHAnsi"/>
          <w:sz w:val="24"/>
          <w:szCs w:val="24"/>
        </w:rPr>
        <w:t>1 de febrero de 2022.-</w:t>
      </w:r>
    </w:p>
    <w:p w14:paraId="03EECB32" w14:textId="717B167C" w:rsidR="00F10803" w:rsidRPr="00E6102F" w:rsidRDefault="00FE70D3" w:rsidP="00B2197C">
      <w:pPr>
        <w:jc w:val="center"/>
        <w:rPr>
          <w:rFonts w:cstheme="minorHAnsi"/>
          <w:sz w:val="24"/>
          <w:szCs w:val="24"/>
          <w:u w:val="single"/>
        </w:rPr>
      </w:pPr>
      <w:r w:rsidRPr="00E6102F">
        <w:rPr>
          <w:rFonts w:cstheme="minorHAnsi"/>
          <w:sz w:val="24"/>
          <w:szCs w:val="24"/>
          <w:u w:val="single"/>
        </w:rPr>
        <w:t>ORDENANZA</w:t>
      </w:r>
      <w:r w:rsidR="00D83FF0">
        <w:rPr>
          <w:rFonts w:cstheme="minorHAnsi"/>
          <w:sz w:val="24"/>
          <w:szCs w:val="24"/>
          <w:u w:val="single"/>
        </w:rPr>
        <w:t xml:space="preserve"> N°1768</w:t>
      </w:r>
      <w:r w:rsidR="0060618C" w:rsidRPr="00E6102F">
        <w:rPr>
          <w:rFonts w:cstheme="minorHAnsi"/>
          <w:sz w:val="24"/>
          <w:szCs w:val="24"/>
          <w:u w:val="single"/>
        </w:rPr>
        <w:t>/2022</w:t>
      </w:r>
      <w:r w:rsidRPr="00E6102F">
        <w:rPr>
          <w:rFonts w:cstheme="minorHAnsi"/>
          <w:sz w:val="24"/>
          <w:szCs w:val="24"/>
          <w:u w:val="single"/>
        </w:rPr>
        <w:t xml:space="preserve"> </w:t>
      </w:r>
    </w:p>
    <w:p w14:paraId="46ADA5CE" w14:textId="77777777" w:rsidR="00D12F87" w:rsidRPr="00E6102F" w:rsidRDefault="00D12F87" w:rsidP="00D90C57">
      <w:pPr>
        <w:rPr>
          <w:rFonts w:cstheme="minorHAnsi"/>
          <w:sz w:val="24"/>
          <w:szCs w:val="24"/>
        </w:rPr>
      </w:pPr>
      <w:r w:rsidRPr="00E6102F">
        <w:rPr>
          <w:rFonts w:cstheme="minorHAnsi"/>
          <w:sz w:val="24"/>
          <w:szCs w:val="24"/>
        </w:rPr>
        <w:t>VISTO:</w:t>
      </w:r>
    </w:p>
    <w:p w14:paraId="14107DF7" w14:textId="104B3FE5" w:rsidR="00D83FF0" w:rsidRPr="00D83FF0" w:rsidRDefault="00D83FF0" w:rsidP="00D83FF0">
      <w:pPr>
        <w:jc w:val="both"/>
        <w:rPr>
          <w:rFonts w:cstheme="minorHAnsi"/>
          <w:bCs/>
          <w:sz w:val="24"/>
          <w:szCs w:val="24"/>
          <w:lang w:val="es-AR"/>
        </w:rPr>
      </w:pPr>
      <w:r>
        <w:rPr>
          <w:rFonts w:cstheme="minorHAnsi"/>
          <w:bCs/>
          <w:sz w:val="24"/>
          <w:szCs w:val="24"/>
          <w:lang w:val="es-AR"/>
        </w:rPr>
        <w:t xml:space="preserve"> </w:t>
      </w:r>
      <w:r>
        <w:rPr>
          <w:rFonts w:cstheme="minorHAnsi"/>
          <w:bCs/>
          <w:sz w:val="24"/>
          <w:szCs w:val="24"/>
          <w:lang w:val="es-AR"/>
        </w:rPr>
        <w:tab/>
      </w:r>
      <w:r w:rsidRPr="00D83FF0">
        <w:rPr>
          <w:rFonts w:cstheme="minorHAnsi"/>
          <w:bCs/>
          <w:sz w:val="24"/>
          <w:szCs w:val="24"/>
          <w:lang w:val="es-AR"/>
        </w:rPr>
        <w:t>La ordenanza 1648/20 de emergencia vial consecuentemente con la necesidad de ampliar el radio pavimentado de la ciudad, y</w:t>
      </w:r>
    </w:p>
    <w:p w14:paraId="4990E523" w14:textId="6CE4795B" w:rsidR="00D12F87" w:rsidRPr="00E6102F" w:rsidRDefault="00D12F87" w:rsidP="00D12F87">
      <w:pPr>
        <w:jc w:val="both"/>
        <w:rPr>
          <w:rFonts w:cstheme="minorHAnsi"/>
          <w:sz w:val="24"/>
          <w:szCs w:val="24"/>
        </w:rPr>
      </w:pPr>
      <w:r w:rsidRPr="00E6102F">
        <w:rPr>
          <w:rFonts w:cstheme="minorHAnsi"/>
          <w:sz w:val="24"/>
          <w:szCs w:val="24"/>
        </w:rPr>
        <w:t>CONSIDERANDO:</w:t>
      </w:r>
    </w:p>
    <w:p w14:paraId="35E42F17" w14:textId="4EBBDF02" w:rsidR="00D83FF0" w:rsidRDefault="00E03419" w:rsidP="00D83FF0">
      <w:pPr>
        <w:jc w:val="both"/>
        <w:rPr>
          <w:rFonts w:cstheme="minorHAnsi"/>
          <w:bCs/>
          <w:sz w:val="24"/>
          <w:szCs w:val="24"/>
          <w:lang w:val="es-AR"/>
        </w:rPr>
      </w:pPr>
      <w:r w:rsidRPr="00E6102F">
        <w:rPr>
          <w:rFonts w:cstheme="minorHAnsi"/>
          <w:sz w:val="24"/>
          <w:szCs w:val="24"/>
        </w:rPr>
        <w:t xml:space="preserve"> </w:t>
      </w:r>
      <w:r w:rsidRPr="00E6102F">
        <w:rPr>
          <w:rFonts w:cstheme="minorHAnsi"/>
          <w:sz w:val="24"/>
          <w:szCs w:val="24"/>
        </w:rPr>
        <w:tab/>
      </w:r>
      <w:r w:rsidRPr="00E6102F">
        <w:rPr>
          <w:rFonts w:cstheme="minorHAnsi"/>
          <w:sz w:val="24"/>
          <w:szCs w:val="24"/>
        </w:rPr>
        <w:tab/>
      </w:r>
      <w:r w:rsidR="00D83FF0" w:rsidRPr="00D83FF0">
        <w:rPr>
          <w:rFonts w:cstheme="minorHAnsi"/>
          <w:bCs/>
          <w:sz w:val="24"/>
          <w:szCs w:val="24"/>
          <w:lang w:val="es-AR"/>
        </w:rPr>
        <w:t xml:space="preserve">Que </w:t>
      </w:r>
      <w:r w:rsidR="00D83FF0">
        <w:rPr>
          <w:rFonts w:cstheme="minorHAnsi"/>
          <w:bCs/>
          <w:sz w:val="24"/>
          <w:szCs w:val="24"/>
          <w:lang w:val="es-AR"/>
        </w:rPr>
        <w:t>ello</w:t>
      </w:r>
      <w:r w:rsidR="00D83FF0" w:rsidRPr="00D83FF0">
        <w:rPr>
          <w:rFonts w:cstheme="minorHAnsi"/>
          <w:bCs/>
          <w:sz w:val="24"/>
          <w:szCs w:val="24"/>
          <w:lang w:val="es-AR"/>
        </w:rPr>
        <w:t xml:space="preserve"> constituye un significativo avance en la infraestructura de la </w:t>
      </w:r>
      <w:r w:rsidR="00D83FF0">
        <w:rPr>
          <w:rFonts w:cstheme="minorHAnsi"/>
          <w:bCs/>
          <w:sz w:val="24"/>
          <w:szCs w:val="24"/>
          <w:lang w:val="es-AR"/>
        </w:rPr>
        <w:t xml:space="preserve">misma </w:t>
      </w:r>
      <w:r w:rsidR="00D83FF0" w:rsidRPr="00D83FF0">
        <w:rPr>
          <w:rFonts w:cstheme="minorHAnsi"/>
          <w:bCs/>
          <w:sz w:val="24"/>
          <w:szCs w:val="24"/>
          <w:lang w:val="es-AR"/>
        </w:rPr>
        <w:t>que redunda a la vez en beneficio de la comunidad toda</w:t>
      </w:r>
      <w:r w:rsidR="00D83FF0">
        <w:rPr>
          <w:rFonts w:cstheme="minorHAnsi"/>
          <w:bCs/>
          <w:sz w:val="24"/>
          <w:szCs w:val="24"/>
          <w:lang w:val="es-AR"/>
        </w:rPr>
        <w:t>, lo que llevó a analizar por parte del Departamento Ejecutivo Municipal, un plan de pavimentación, en el que se definieron los siguientes aspectos:</w:t>
      </w:r>
    </w:p>
    <w:p w14:paraId="47EA7BBA" w14:textId="229F251D" w:rsidR="00D83FF0" w:rsidRDefault="00514FA1" w:rsidP="00D83FF0">
      <w:pPr>
        <w:pStyle w:val="Prrafodelista"/>
        <w:numPr>
          <w:ilvl w:val="0"/>
          <w:numId w:val="7"/>
        </w:numPr>
        <w:jc w:val="both"/>
        <w:rPr>
          <w:rFonts w:cstheme="minorHAnsi"/>
          <w:bCs/>
          <w:sz w:val="24"/>
          <w:szCs w:val="24"/>
          <w:lang w:val="es-AR"/>
        </w:rPr>
      </w:pPr>
      <w:r>
        <w:rPr>
          <w:rFonts w:cstheme="minorHAnsi"/>
          <w:bCs/>
          <w:sz w:val="24"/>
          <w:szCs w:val="24"/>
          <w:lang w:val="es-AR"/>
        </w:rPr>
        <w:t>Establecer como radio de pavimentación a la obra proyectada y anexa en la presente “PAVIMENTACIÓN DE 22 CUADRAS DEL EJIDO URBANO”.</w:t>
      </w:r>
    </w:p>
    <w:p w14:paraId="2F2480E1" w14:textId="79AD0953" w:rsidR="00D83FF0" w:rsidRPr="00514FA1" w:rsidRDefault="00514FA1" w:rsidP="00514FA1">
      <w:pPr>
        <w:pStyle w:val="Prrafodelista"/>
        <w:numPr>
          <w:ilvl w:val="0"/>
          <w:numId w:val="7"/>
        </w:numPr>
        <w:jc w:val="both"/>
        <w:rPr>
          <w:rFonts w:cstheme="minorHAnsi"/>
          <w:bCs/>
          <w:sz w:val="24"/>
          <w:szCs w:val="24"/>
          <w:lang w:val="es-AR"/>
        </w:rPr>
      </w:pPr>
      <w:r>
        <w:rPr>
          <w:rFonts w:cstheme="minorHAnsi"/>
          <w:bCs/>
          <w:sz w:val="24"/>
          <w:szCs w:val="24"/>
          <w:lang w:val="es-AR"/>
        </w:rPr>
        <w:t>Las obras serán ejecutadas por administración municipal con pavimento de hormigón simple en los anchos que determina el proyecto de obra y con las especificaciones técnicas que la Secretaría de Planeamiento, Obras y Servicios Públicos disponga para tal caso, aceptando en determinados sectores y a pedido de los vecinos y aprobado por los organismos técnicos de la Municipalidad, la posibilidad de ejecutar cordón cuneta u otra variante técnica sujeto a estudio y aprobación pertinente.</w:t>
      </w:r>
      <w:r w:rsidR="00D83FF0" w:rsidRPr="00514FA1">
        <w:rPr>
          <w:rFonts w:cstheme="minorHAnsi"/>
          <w:bCs/>
          <w:sz w:val="24"/>
          <w:szCs w:val="24"/>
          <w:lang w:val="es-AR"/>
        </w:rPr>
        <w:tab/>
      </w:r>
      <w:r w:rsidR="00D83FF0" w:rsidRPr="00514FA1">
        <w:rPr>
          <w:rFonts w:cstheme="minorHAnsi"/>
          <w:bCs/>
          <w:sz w:val="24"/>
          <w:szCs w:val="24"/>
          <w:lang w:val="es-AR"/>
        </w:rPr>
        <w:tab/>
      </w:r>
    </w:p>
    <w:p w14:paraId="127C15C1" w14:textId="54755FAC" w:rsidR="00A16CAE" w:rsidRPr="00E6102F" w:rsidRDefault="00A16CAE" w:rsidP="00D83FF0">
      <w:pPr>
        <w:jc w:val="both"/>
        <w:rPr>
          <w:rFonts w:cstheme="minorHAnsi"/>
          <w:sz w:val="24"/>
          <w:szCs w:val="24"/>
        </w:rPr>
      </w:pPr>
      <w:r w:rsidRPr="00E6102F">
        <w:rPr>
          <w:rFonts w:cstheme="minorHAnsi"/>
          <w:sz w:val="24"/>
          <w:szCs w:val="24"/>
        </w:rPr>
        <w:t>POR LO QUE:</w:t>
      </w:r>
    </w:p>
    <w:p w14:paraId="3D5B51D3" w14:textId="77777777" w:rsidR="00A16CAE" w:rsidRPr="00E6102F" w:rsidRDefault="00A16CAE" w:rsidP="00D12F87">
      <w:pPr>
        <w:jc w:val="both"/>
        <w:rPr>
          <w:rFonts w:cstheme="minorHAnsi"/>
          <w:sz w:val="24"/>
          <w:szCs w:val="24"/>
        </w:rPr>
      </w:pPr>
      <w:r w:rsidRPr="00E6102F">
        <w:rPr>
          <w:rFonts w:cstheme="minorHAnsi"/>
          <w:sz w:val="24"/>
          <w:szCs w:val="24"/>
        </w:rPr>
        <w:tab/>
      </w:r>
      <w:r w:rsidRPr="00E6102F">
        <w:rPr>
          <w:rFonts w:cstheme="minorHAnsi"/>
          <w:sz w:val="24"/>
          <w:szCs w:val="24"/>
        </w:rPr>
        <w:tab/>
        <w:t>EL HONORABLE CONCEJO MUNICIPAL de CERES, EN USO DE LAS ATRIBUCIONES QUE LE CONFIERE LA LEY 2756 Y SUS MODIFICATORIAS, SANCIONA LA SIGUIENTE:</w:t>
      </w:r>
    </w:p>
    <w:p w14:paraId="735ED4C8" w14:textId="77777777" w:rsidR="00A16CAE" w:rsidRPr="00E6102F" w:rsidRDefault="00A16CAE" w:rsidP="00B2197C">
      <w:pPr>
        <w:jc w:val="center"/>
        <w:rPr>
          <w:rFonts w:cstheme="minorHAnsi"/>
          <w:sz w:val="24"/>
          <w:szCs w:val="24"/>
        </w:rPr>
      </w:pPr>
      <w:r w:rsidRPr="00E6102F">
        <w:rPr>
          <w:rFonts w:cstheme="minorHAnsi"/>
          <w:sz w:val="24"/>
          <w:szCs w:val="24"/>
        </w:rPr>
        <w:t>O R D E N A N Z A</w:t>
      </w:r>
    </w:p>
    <w:p w14:paraId="2EF712E6" w14:textId="5ACBAB2B" w:rsidR="00514FA1" w:rsidRDefault="0066183A" w:rsidP="00514FA1">
      <w:pPr>
        <w:jc w:val="both"/>
        <w:rPr>
          <w:rFonts w:cstheme="minorHAnsi"/>
          <w:bCs/>
          <w:sz w:val="24"/>
          <w:szCs w:val="24"/>
          <w:lang w:val="es-AR"/>
        </w:rPr>
      </w:pPr>
      <w:r w:rsidRPr="0066183A">
        <w:rPr>
          <w:rFonts w:cstheme="minorHAnsi"/>
          <w:bCs/>
          <w:sz w:val="24"/>
          <w:szCs w:val="24"/>
          <w:lang w:val="es-AR"/>
        </w:rPr>
        <w:t>ARTÍCULO 1°)</w:t>
      </w:r>
      <w:r w:rsidR="00514FA1" w:rsidRPr="00514FA1">
        <w:rPr>
          <w:rFonts w:cstheme="minorHAnsi"/>
          <w:bCs/>
          <w:sz w:val="24"/>
          <w:szCs w:val="24"/>
          <w:lang w:val="es-AR"/>
        </w:rPr>
        <w:t xml:space="preserve"> </w:t>
      </w:r>
      <w:proofErr w:type="spellStart"/>
      <w:r w:rsidR="00514FA1" w:rsidRPr="00514FA1">
        <w:rPr>
          <w:rFonts w:cstheme="minorHAnsi"/>
          <w:bCs/>
          <w:sz w:val="24"/>
          <w:szCs w:val="24"/>
          <w:lang w:val="es-AR"/>
        </w:rPr>
        <w:t>Dispónese</w:t>
      </w:r>
      <w:proofErr w:type="spellEnd"/>
      <w:r w:rsidR="00514FA1" w:rsidRPr="00514FA1">
        <w:rPr>
          <w:rFonts w:cstheme="minorHAnsi"/>
          <w:bCs/>
          <w:sz w:val="24"/>
          <w:szCs w:val="24"/>
          <w:lang w:val="es-AR"/>
        </w:rPr>
        <w:t xml:space="preserve"> la ejecución de un plan de pavimentación urbana que corresponderá la realización de las cuadras según el proyecto “PAVIMENTACIÓN DE 22 CUADRAS DEL EJIDO URBANO”, facultando el Departamento E</w:t>
      </w:r>
      <w:bookmarkStart w:id="0" w:name="_GoBack"/>
      <w:bookmarkEnd w:id="0"/>
      <w:r w:rsidR="00514FA1" w:rsidRPr="00514FA1">
        <w:rPr>
          <w:rFonts w:cstheme="minorHAnsi"/>
          <w:bCs/>
          <w:sz w:val="24"/>
          <w:szCs w:val="24"/>
          <w:lang w:val="es-AR"/>
        </w:rPr>
        <w:t xml:space="preserve">jecutivo Municipal para que por medio de los respectivos Decretos establezca diferentes tramos de ejecución parcial de la obra aprobada, conforme las circunstancias de factibilidad técnica, económica y social así lo aconseje. Sin perjuicio de lo expuesto y dentro de los 30 días posteriores a la entrada en vigencia de esta Ordenanza y del decreto reglamentario de cada tramo en particular, los vecinos podrán solicitar, se incorpore al plan de pavimentación en la zona externa a las calles planteadas en </w:t>
      </w:r>
      <w:r w:rsidR="00514FA1" w:rsidRPr="00514FA1">
        <w:rPr>
          <w:rFonts w:cstheme="minorHAnsi"/>
          <w:bCs/>
          <w:sz w:val="24"/>
          <w:szCs w:val="24"/>
          <w:lang w:val="es-AR"/>
        </w:rPr>
        <w:lastRenderedPageBreak/>
        <w:t xml:space="preserve">el proyecto en un radio máximo de 100 metros, a criterio de las áreas técnicas </w:t>
      </w:r>
      <w:r w:rsidR="00514FA1">
        <w:rPr>
          <w:rFonts w:cstheme="minorHAnsi"/>
          <w:bCs/>
          <w:sz w:val="24"/>
          <w:szCs w:val="24"/>
          <w:lang w:val="es-AR"/>
        </w:rPr>
        <w:t>de la Municipalidad</w:t>
      </w:r>
      <w:r w:rsidR="00514FA1" w:rsidRPr="00514FA1">
        <w:rPr>
          <w:rFonts w:cstheme="minorHAnsi"/>
          <w:bCs/>
          <w:sz w:val="24"/>
          <w:szCs w:val="24"/>
          <w:lang w:val="es-AR"/>
        </w:rPr>
        <w:t xml:space="preserve"> la autorización de la opción pretendida, siempre y cuando dicho sector ya cuente con la obra de cordón cuneta finalizada y concluido s</w:t>
      </w:r>
      <w:r w:rsidR="00514FA1">
        <w:rPr>
          <w:rFonts w:cstheme="minorHAnsi"/>
          <w:bCs/>
          <w:sz w:val="24"/>
          <w:szCs w:val="24"/>
          <w:lang w:val="es-AR"/>
        </w:rPr>
        <w:t xml:space="preserve">u pago, y previa conformidad del 70% </w:t>
      </w:r>
      <w:r w:rsidR="00514FA1" w:rsidRPr="00514FA1">
        <w:rPr>
          <w:rFonts w:cstheme="minorHAnsi"/>
          <w:bCs/>
          <w:sz w:val="24"/>
          <w:szCs w:val="24"/>
          <w:lang w:val="es-AR"/>
        </w:rPr>
        <w:t>de los vecinos involucrados en la misma.</w:t>
      </w:r>
    </w:p>
    <w:p w14:paraId="3DB94B42" w14:textId="2F92E034" w:rsidR="00514FA1" w:rsidRPr="00514FA1" w:rsidRDefault="00514FA1" w:rsidP="00514FA1">
      <w:pPr>
        <w:jc w:val="both"/>
        <w:rPr>
          <w:rFonts w:cstheme="minorHAnsi"/>
          <w:bCs/>
          <w:sz w:val="24"/>
          <w:szCs w:val="24"/>
          <w:lang w:val="es-AR"/>
        </w:rPr>
      </w:pPr>
      <w:r>
        <w:rPr>
          <w:rFonts w:cstheme="minorHAnsi"/>
          <w:bCs/>
          <w:sz w:val="24"/>
          <w:szCs w:val="24"/>
          <w:lang w:val="es-AR"/>
        </w:rPr>
        <w:t>ARTÍCULO 2°) Disponese la apertura de un Registro de Oposición Único por la totalidad de la obra de Pavimentación de 22 cuadras del ejido urbano, haciendo conocer exactamente a los frentistas las características de la obra y sus condiciones de pago, durante un plazo de 10 días hábiles, al cabo del cual, y si dicha oposición no supera el 30% del total de metros frentistas involucrados en cada módulo, se procede a la ejecución de la obra.</w:t>
      </w:r>
    </w:p>
    <w:p w14:paraId="579CDF24" w14:textId="54CFC9B7" w:rsidR="00514FA1" w:rsidRPr="00514FA1" w:rsidRDefault="00514FA1" w:rsidP="00514FA1">
      <w:pPr>
        <w:jc w:val="both"/>
        <w:rPr>
          <w:rFonts w:cstheme="minorHAnsi"/>
          <w:bCs/>
          <w:sz w:val="24"/>
          <w:szCs w:val="24"/>
          <w:lang w:val="es-AR"/>
        </w:rPr>
      </w:pPr>
      <w:r w:rsidRPr="00514FA1">
        <w:rPr>
          <w:rFonts w:cstheme="minorHAnsi"/>
          <w:bCs/>
          <w:sz w:val="24"/>
          <w:szCs w:val="24"/>
          <w:lang w:val="es-AR"/>
        </w:rPr>
        <w:t>ARTÍCULO 3°)</w:t>
      </w:r>
      <w:r>
        <w:rPr>
          <w:rFonts w:cstheme="minorHAnsi"/>
          <w:b/>
          <w:bCs/>
          <w:sz w:val="24"/>
          <w:szCs w:val="24"/>
          <w:lang w:val="es-AR"/>
        </w:rPr>
        <w:t xml:space="preserve"> </w:t>
      </w:r>
      <w:r w:rsidRPr="00514FA1">
        <w:rPr>
          <w:rFonts w:cstheme="minorHAnsi"/>
          <w:bCs/>
          <w:sz w:val="24"/>
          <w:szCs w:val="24"/>
          <w:lang w:val="es-AR"/>
        </w:rPr>
        <w:t xml:space="preserve">Previo a la ejecución de cada cuadra y dentro de los 30 días de la aprobación del Decreto reglamentario de cada tramo, se deberá obtener la aprobación de los vecinos que represente el 70% de los metros de frente. Este mismo porcentaje será exigible para solicitar el cambio técnico de la obra enunciada en el </w:t>
      </w:r>
      <w:r>
        <w:rPr>
          <w:rFonts w:cstheme="minorHAnsi"/>
          <w:bCs/>
          <w:sz w:val="24"/>
          <w:szCs w:val="24"/>
          <w:lang w:val="es-AR"/>
        </w:rPr>
        <w:t>Artículo 1°).</w:t>
      </w:r>
    </w:p>
    <w:p w14:paraId="38293CE6" w14:textId="018A5EA8" w:rsidR="00514FA1" w:rsidRPr="00514FA1" w:rsidRDefault="00514FA1" w:rsidP="00514FA1">
      <w:pPr>
        <w:jc w:val="both"/>
        <w:rPr>
          <w:rFonts w:cstheme="minorHAnsi"/>
          <w:bCs/>
          <w:sz w:val="24"/>
          <w:szCs w:val="24"/>
          <w:lang w:val="es-AR"/>
        </w:rPr>
      </w:pPr>
      <w:r w:rsidRPr="00514FA1">
        <w:rPr>
          <w:rFonts w:cstheme="minorHAnsi"/>
          <w:bCs/>
          <w:sz w:val="24"/>
          <w:szCs w:val="24"/>
          <w:lang w:val="es-AR"/>
        </w:rPr>
        <w:t>ARTÍCULO 4°)</w:t>
      </w:r>
      <w:r>
        <w:rPr>
          <w:rFonts w:cstheme="minorHAnsi"/>
          <w:b/>
          <w:bCs/>
          <w:sz w:val="24"/>
          <w:szCs w:val="24"/>
          <w:lang w:val="es-AR"/>
        </w:rPr>
        <w:t xml:space="preserve"> </w:t>
      </w:r>
      <w:r w:rsidRPr="00514FA1">
        <w:rPr>
          <w:rFonts w:cstheme="minorHAnsi"/>
          <w:bCs/>
          <w:sz w:val="24"/>
          <w:szCs w:val="24"/>
          <w:lang w:val="es-AR"/>
        </w:rPr>
        <w:t>La obra consistirá en la construcción de pavimento de hormigón simple, cuyas características se detallan en los pliegos de condiciones y especificaciones técnicas que para tal caso posee la Secretaría de Planeamiento Obras y Servicios Públicos. El mantenimiento de esta obra correrá por exclusi</w:t>
      </w:r>
      <w:r>
        <w:rPr>
          <w:rFonts w:cstheme="minorHAnsi"/>
          <w:bCs/>
          <w:sz w:val="24"/>
          <w:szCs w:val="24"/>
          <w:lang w:val="es-AR"/>
        </w:rPr>
        <w:t>va cuenta de esta Municipalidad.</w:t>
      </w:r>
    </w:p>
    <w:p w14:paraId="21120EB6" w14:textId="1E80F08A" w:rsidR="00514FA1" w:rsidRPr="00514FA1" w:rsidRDefault="00514FA1" w:rsidP="00514FA1">
      <w:pPr>
        <w:jc w:val="both"/>
        <w:rPr>
          <w:rFonts w:cstheme="minorHAnsi"/>
          <w:bCs/>
          <w:sz w:val="24"/>
          <w:szCs w:val="24"/>
          <w:lang w:val="es-AR"/>
        </w:rPr>
      </w:pPr>
      <w:r w:rsidRPr="00514FA1">
        <w:rPr>
          <w:rFonts w:cstheme="minorHAnsi"/>
          <w:bCs/>
          <w:sz w:val="24"/>
          <w:szCs w:val="24"/>
          <w:lang w:val="es-AR"/>
        </w:rPr>
        <w:t>ARTÍCULO 5°)</w:t>
      </w:r>
      <w:r>
        <w:rPr>
          <w:rFonts w:cstheme="minorHAnsi"/>
          <w:bCs/>
          <w:sz w:val="24"/>
          <w:szCs w:val="24"/>
          <w:lang w:val="es-AR"/>
        </w:rPr>
        <w:t xml:space="preserve"> </w:t>
      </w:r>
      <w:r w:rsidRPr="00514FA1">
        <w:rPr>
          <w:rFonts w:cstheme="minorHAnsi"/>
          <w:bCs/>
          <w:sz w:val="24"/>
          <w:szCs w:val="24"/>
          <w:lang w:val="es-AR"/>
        </w:rPr>
        <w:t>La duración total del proyecto descripto se estima completar en un</w:t>
      </w:r>
      <w:r w:rsidR="0092058C">
        <w:rPr>
          <w:rFonts w:cstheme="minorHAnsi"/>
          <w:bCs/>
          <w:sz w:val="24"/>
          <w:szCs w:val="24"/>
          <w:lang w:val="es-AR"/>
        </w:rPr>
        <w:t xml:space="preserve"> plazo máximo de 12 meses aproximadamente.</w:t>
      </w:r>
    </w:p>
    <w:p w14:paraId="4CCB16B6" w14:textId="4351AD4A" w:rsidR="00514FA1" w:rsidRPr="00514FA1" w:rsidRDefault="0092058C" w:rsidP="00514FA1">
      <w:pPr>
        <w:jc w:val="both"/>
        <w:rPr>
          <w:rFonts w:cstheme="minorHAnsi"/>
          <w:bCs/>
          <w:sz w:val="24"/>
          <w:szCs w:val="24"/>
          <w:lang w:val="es-AR"/>
        </w:rPr>
      </w:pPr>
      <w:r w:rsidRPr="0092058C">
        <w:rPr>
          <w:rFonts w:cstheme="minorHAnsi"/>
          <w:bCs/>
          <w:sz w:val="24"/>
          <w:szCs w:val="24"/>
          <w:lang w:val="es-AR"/>
        </w:rPr>
        <w:t>ARTÍCULO 6°)</w:t>
      </w:r>
      <w:r w:rsidR="00514FA1" w:rsidRPr="00514FA1">
        <w:rPr>
          <w:rFonts w:cstheme="minorHAnsi"/>
          <w:b/>
          <w:bCs/>
          <w:sz w:val="24"/>
          <w:szCs w:val="24"/>
          <w:lang w:val="es-AR"/>
        </w:rPr>
        <w:t xml:space="preserve"> </w:t>
      </w:r>
      <w:r w:rsidR="00514FA1" w:rsidRPr="00514FA1">
        <w:rPr>
          <w:rFonts w:cstheme="minorHAnsi"/>
          <w:bCs/>
          <w:sz w:val="24"/>
          <w:szCs w:val="24"/>
          <w:lang w:val="es-AR"/>
        </w:rPr>
        <w:t>Serán sujetos pasivos de esta contribución, los propietarios y poseedores a título de dueño de los inmuebles ubicados en los lugares donde se realizará la obra, de conformidad con los datos catastrales dominiales que la Municipalidad posea a la fecha de realización de la liquidación de la contribución.</w:t>
      </w:r>
    </w:p>
    <w:p w14:paraId="26331F9B" w14:textId="4F236930" w:rsidR="00514FA1" w:rsidRPr="00514FA1" w:rsidRDefault="0092058C" w:rsidP="00514FA1">
      <w:pPr>
        <w:jc w:val="both"/>
        <w:rPr>
          <w:rFonts w:cstheme="minorHAnsi"/>
          <w:bCs/>
          <w:sz w:val="24"/>
          <w:szCs w:val="24"/>
          <w:lang w:val="es-AR"/>
        </w:rPr>
      </w:pPr>
      <w:r w:rsidRPr="0092058C">
        <w:rPr>
          <w:rFonts w:cstheme="minorHAnsi"/>
          <w:bCs/>
          <w:sz w:val="24"/>
          <w:szCs w:val="24"/>
          <w:lang w:val="es-AR"/>
        </w:rPr>
        <w:t>ARTÍCULO 7°)</w:t>
      </w:r>
      <w:r w:rsidR="00514FA1" w:rsidRPr="00514FA1">
        <w:rPr>
          <w:rFonts w:cstheme="minorHAnsi"/>
          <w:b/>
          <w:bCs/>
          <w:sz w:val="24"/>
          <w:szCs w:val="24"/>
          <w:lang w:val="es-AR"/>
        </w:rPr>
        <w:t xml:space="preserve"> </w:t>
      </w:r>
      <w:r w:rsidR="00514FA1" w:rsidRPr="00514FA1">
        <w:rPr>
          <w:rFonts w:cstheme="minorHAnsi"/>
          <w:bCs/>
          <w:sz w:val="24"/>
          <w:szCs w:val="24"/>
          <w:lang w:val="es-AR"/>
        </w:rPr>
        <w:t>La obra declarada de utilidad pública, deberá ser abonada en su totalidad por los pr</w:t>
      </w:r>
      <w:r>
        <w:rPr>
          <w:rFonts w:cstheme="minorHAnsi"/>
          <w:bCs/>
          <w:sz w:val="24"/>
          <w:szCs w:val="24"/>
          <w:lang w:val="es-AR"/>
        </w:rPr>
        <w:t>opietarios descriptos en el artículo</w:t>
      </w:r>
      <w:r w:rsidR="00514FA1" w:rsidRPr="00514FA1">
        <w:rPr>
          <w:rFonts w:cstheme="minorHAnsi"/>
          <w:bCs/>
          <w:sz w:val="24"/>
          <w:szCs w:val="24"/>
          <w:lang w:val="es-AR"/>
        </w:rPr>
        <w:t xml:space="preserve"> anterior, en lo que se refiere al pavimento de hormigón, sobre la base de las dimensiones lineales de su frente exactamente multiplicado por la mitad del ancho de calzada proyectado, prorrateado en el costo la incidencia de la bocacalle. En los casos que hubiera inmuebles sujetos al régimen de propiedad horizontal, el importe total que se determine aplicando la normativa de la única propiedad, será distribuido en proporción a los metros cuadrados de cada uno de ellos. En las propiedades internas con entradas comunes o pasillos, se aplicará a cada una el 70% de los metros de frente.</w:t>
      </w:r>
    </w:p>
    <w:p w14:paraId="12504ED5" w14:textId="570792CE" w:rsidR="00514FA1" w:rsidRPr="00514FA1" w:rsidRDefault="0092058C" w:rsidP="00514FA1">
      <w:pPr>
        <w:jc w:val="both"/>
        <w:rPr>
          <w:rFonts w:cstheme="minorHAnsi"/>
          <w:bCs/>
          <w:sz w:val="24"/>
          <w:szCs w:val="24"/>
          <w:lang w:val="es-AR"/>
        </w:rPr>
      </w:pPr>
      <w:r w:rsidRPr="0092058C">
        <w:rPr>
          <w:rFonts w:cstheme="minorHAnsi"/>
          <w:bCs/>
          <w:sz w:val="24"/>
          <w:szCs w:val="24"/>
          <w:lang w:val="es-AR"/>
        </w:rPr>
        <w:lastRenderedPageBreak/>
        <w:t>ARTÍCULO 8°)</w:t>
      </w:r>
      <w:r w:rsidR="00514FA1" w:rsidRPr="00514FA1">
        <w:rPr>
          <w:rFonts w:cstheme="minorHAnsi"/>
          <w:b/>
          <w:bCs/>
          <w:sz w:val="24"/>
          <w:szCs w:val="24"/>
          <w:lang w:val="es-AR"/>
        </w:rPr>
        <w:t xml:space="preserve"> </w:t>
      </w:r>
      <w:r w:rsidR="00514FA1" w:rsidRPr="00514FA1">
        <w:rPr>
          <w:rFonts w:cstheme="minorHAnsi"/>
          <w:bCs/>
          <w:sz w:val="24"/>
          <w:szCs w:val="24"/>
          <w:lang w:val="es-AR"/>
        </w:rPr>
        <w:t xml:space="preserve">La obra de referencia será ejecutada por administración municipal, conforme los presupuestos y estudios de costos realizados por la Secretaría de Planeamiento Obras y Servicios Públicos que se adjuntan a la presente. Sin perjuicio de lo que aquí se establece, </w:t>
      </w:r>
      <w:proofErr w:type="spellStart"/>
      <w:r w:rsidR="00514FA1" w:rsidRPr="00514FA1">
        <w:rPr>
          <w:rFonts w:cstheme="minorHAnsi"/>
          <w:bCs/>
          <w:sz w:val="24"/>
          <w:szCs w:val="24"/>
          <w:lang w:val="es-AR"/>
        </w:rPr>
        <w:t>facúltase</w:t>
      </w:r>
      <w:proofErr w:type="spellEnd"/>
      <w:r w:rsidR="00514FA1" w:rsidRPr="00514FA1">
        <w:rPr>
          <w:rFonts w:cstheme="minorHAnsi"/>
          <w:bCs/>
          <w:sz w:val="24"/>
          <w:szCs w:val="24"/>
          <w:lang w:val="es-AR"/>
        </w:rPr>
        <w:t xml:space="preserve"> al Departamento Ejecutivo Municipal para proceder a la contratación por Licitación Pública de la totalidad o parte de la obra a los fines de la economía de costo y/o cumplimiento de los plazos, previa remisión de las especificaciones y pliegos al Concejo Municipal, para su tratamiento y aprobación. La estructura de costos que se establece con el objeto de proceder a los respectivos ajustes periódicos de cada cuota de pavimento de hormigón se desglosa del siguiente modo:</w:t>
      </w:r>
    </w:p>
    <w:tbl>
      <w:tblPr>
        <w:tblW w:w="7180" w:type="dxa"/>
        <w:jc w:val="center"/>
        <w:tblCellMar>
          <w:left w:w="70" w:type="dxa"/>
          <w:right w:w="70" w:type="dxa"/>
        </w:tblCellMar>
        <w:tblLook w:val="04A0" w:firstRow="1" w:lastRow="0" w:firstColumn="1" w:lastColumn="0" w:noHBand="0" w:noVBand="1"/>
      </w:tblPr>
      <w:tblGrid>
        <w:gridCol w:w="2320"/>
        <w:gridCol w:w="2360"/>
        <w:gridCol w:w="2500"/>
      </w:tblGrid>
      <w:tr w:rsidR="00514FA1" w:rsidRPr="00514FA1" w14:paraId="7A121DD8" w14:textId="77777777" w:rsidTr="00C4501A">
        <w:trPr>
          <w:trHeight w:val="699"/>
          <w:jc w:val="center"/>
        </w:trPr>
        <w:tc>
          <w:tcPr>
            <w:tcW w:w="7180" w:type="dxa"/>
            <w:gridSpan w:val="3"/>
            <w:tcBorders>
              <w:top w:val="single" w:sz="8" w:space="0" w:color="auto"/>
              <w:left w:val="single" w:sz="8" w:space="0" w:color="auto"/>
              <w:bottom w:val="single" w:sz="8" w:space="0" w:color="auto"/>
              <w:right w:val="single" w:sz="8" w:space="0" w:color="000000"/>
            </w:tcBorders>
            <w:shd w:val="clear" w:color="auto" w:fill="FFFFFF"/>
            <w:noWrap/>
            <w:vAlign w:val="center"/>
            <w:hideMark/>
          </w:tcPr>
          <w:p w14:paraId="2DED0CD5" w14:textId="77777777" w:rsidR="00514FA1" w:rsidRPr="00514FA1" w:rsidRDefault="00514FA1" w:rsidP="0092058C">
            <w:pPr>
              <w:jc w:val="center"/>
              <w:rPr>
                <w:rFonts w:cstheme="minorHAnsi"/>
                <w:b/>
                <w:bCs/>
                <w:sz w:val="24"/>
                <w:szCs w:val="24"/>
                <w:lang w:val="en-US"/>
              </w:rPr>
            </w:pPr>
            <w:proofErr w:type="spellStart"/>
            <w:r w:rsidRPr="00514FA1">
              <w:rPr>
                <w:rFonts w:cstheme="minorHAnsi"/>
                <w:b/>
                <w:bCs/>
                <w:sz w:val="24"/>
                <w:szCs w:val="24"/>
                <w:lang w:val="en-US"/>
              </w:rPr>
              <w:t>Estructura</w:t>
            </w:r>
            <w:proofErr w:type="spellEnd"/>
            <w:r w:rsidRPr="00514FA1">
              <w:rPr>
                <w:rFonts w:cstheme="minorHAnsi"/>
                <w:b/>
                <w:bCs/>
                <w:sz w:val="24"/>
                <w:szCs w:val="24"/>
                <w:lang w:val="en-US"/>
              </w:rPr>
              <w:t xml:space="preserve"> de </w:t>
            </w:r>
            <w:proofErr w:type="spellStart"/>
            <w:r w:rsidRPr="00514FA1">
              <w:rPr>
                <w:rFonts w:cstheme="minorHAnsi"/>
                <w:b/>
                <w:bCs/>
                <w:sz w:val="24"/>
                <w:szCs w:val="24"/>
                <w:lang w:val="en-US"/>
              </w:rPr>
              <w:t>Costos</w:t>
            </w:r>
            <w:proofErr w:type="spellEnd"/>
            <w:r w:rsidRPr="00514FA1">
              <w:rPr>
                <w:rFonts w:cstheme="minorHAnsi"/>
                <w:b/>
                <w:bCs/>
                <w:sz w:val="24"/>
                <w:szCs w:val="24"/>
                <w:lang w:val="en-US"/>
              </w:rPr>
              <w:t xml:space="preserve"> </w:t>
            </w:r>
            <w:proofErr w:type="spellStart"/>
            <w:r w:rsidRPr="00514FA1">
              <w:rPr>
                <w:rFonts w:cstheme="minorHAnsi"/>
                <w:b/>
                <w:bCs/>
                <w:sz w:val="24"/>
                <w:szCs w:val="24"/>
                <w:lang w:val="en-US"/>
              </w:rPr>
              <w:t>por</w:t>
            </w:r>
            <w:proofErr w:type="spellEnd"/>
            <w:r w:rsidRPr="00514FA1">
              <w:rPr>
                <w:rFonts w:cstheme="minorHAnsi"/>
                <w:b/>
                <w:bCs/>
                <w:sz w:val="24"/>
                <w:szCs w:val="24"/>
                <w:lang w:val="en-US"/>
              </w:rPr>
              <w:t xml:space="preserve"> m2</w:t>
            </w:r>
          </w:p>
        </w:tc>
      </w:tr>
      <w:tr w:rsidR="00514FA1" w:rsidRPr="00514FA1" w14:paraId="5B7F83B3" w14:textId="77777777" w:rsidTr="00C4501A">
        <w:trPr>
          <w:trHeight w:val="699"/>
          <w:jc w:val="center"/>
        </w:trPr>
        <w:tc>
          <w:tcPr>
            <w:tcW w:w="2320" w:type="dxa"/>
            <w:tcBorders>
              <w:top w:val="nil"/>
              <w:left w:val="single" w:sz="8" w:space="0" w:color="auto"/>
              <w:bottom w:val="nil"/>
              <w:right w:val="nil"/>
            </w:tcBorders>
            <w:shd w:val="clear" w:color="auto" w:fill="FFFFFF"/>
            <w:noWrap/>
            <w:vAlign w:val="center"/>
            <w:hideMark/>
          </w:tcPr>
          <w:p w14:paraId="240FD8D6" w14:textId="77777777" w:rsidR="00514FA1" w:rsidRPr="00514FA1" w:rsidRDefault="00514FA1" w:rsidP="0092058C">
            <w:pPr>
              <w:jc w:val="center"/>
              <w:rPr>
                <w:rFonts w:cstheme="minorHAnsi"/>
                <w:b/>
                <w:bCs/>
                <w:sz w:val="24"/>
                <w:szCs w:val="24"/>
                <w:lang w:val="en-US"/>
              </w:rPr>
            </w:pPr>
            <w:proofErr w:type="spellStart"/>
            <w:r w:rsidRPr="00514FA1">
              <w:rPr>
                <w:rFonts w:cstheme="minorHAnsi"/>
                <w:b/>
                <w:bCs/>
                <w:sz w:val="24"/>
                <w:szCs w:val="24"/>
                <w:lang w:val="en-US"/>
              </w:rPr>
              <w:t>Ítem</w:t>
            </w:r>
            <w:proofErr w:type="spellEnd"/>
          </w:p>
        </w:tc>
        <w:tc>
          <w:tcPr>
            <w:tcW w:w="2360" w:type="dxa"/>
            <w:tcBorders>
              <w:top w:val="nil"/>
              <w:left w:val="single" w:sz="8" w:space="0" w:color="auto"/>
              <w:bottom w:val="single" w:sz="8" w:space="0" w:color="auto"/>
              <w:right w:val="single" w:sz="8" w:space="0" w:color="auto"/>
            </w:tcBorders>
            <w:shd w:val="clear" w:color="auto" w:fill="FFFFFF"/>
            <w:noWrap/>
            <w:vAlign w:val="center"/>
            <w:hideMark/>
          </w:tcPr>
          <w:p w14:paraId="0EFE5CD7" w14:textId="77777777" w:rsidR="00514FA1" w:rsidRPr="00514FA1" w:rsidRDefault="00514FA1" w:rsidP="0092058C">
            <w:pPr>
              <w:jc w:val="center"/>
              <w:rPr>
                <w:rFonts w:cstheme="minorHAnsi"/>
                <w:b/>
                <w:bCs/>
                <w:sz w:val="24"/>
                <w:szCs w:val="24"/>
                <w:lang w:val="en-US"/>
              </w:rPr>
            </w:pPr>
            <w:proofErr w:type="spellStart"/>
            <w:r w:rsidRPr="00514FA1">
              <w:rPr>
                <w:rFonts w:cstheme="minorHAnsi"/>
                <w:b/>
                <w:bCs/>
                <w:sz w:val="24"/>
                <w:szCs w:val="24"/>
                <w:lang w:val="en-US"/>
              </w:rPr>
              <w:t>Precio</w:t>
            </w:r>
            <w:proofErr w:type="spellEnd"/>
          </w:p>
        </w:tc>
        <w:tc>
          <w:tcPr>
            <w:tcW w:w="2500" w:type="dxa"/>
            <w:tcBorders>
              <w:top w:val="nil"/>
              <w:left w:val="nil"/>
              <w:bottom w:val="single" w:sz="8" w:space="0" w:color="auto"/>
              <w:right w:val="single" w:sz="8" w:space="0" w:color="auto"/>
            </w:tcBorders>
            <w:shd w:val="clear" w:color="auto" w:fill="FFFFFF"/>
            <w:noWrap/>
            <w:vAlign w:val="center"/>
            <w:hideMark/>
          </w:tcPr>
          <w:p w14:paraId="4F3C6871" w14:textId="77777777" w:rsidR="00514FA1" w:rsidRPr="00514FA1" w:rsidRDefault="00514FA1" w:rsidP="0092058C">
            <w:pPr>
              <w:jc w:val="center"/>
              <w:rPr>
                <w:rFonts w:cstheme="minorHAnsi"/>
                <w:b/>
                <w:bCs/>
                <w:sz w:val="24"/>
                <w:szCs w:val="24"/>
                <w:lang w:val="en-US"/>
              </w:rPr>
            </w:pPr>
            <w:r w:rsidRPr="00514FA1">
              <w:rPr>
                <w:rFonts w:cstheme="minorHAnsi"/>
                <w:b/>
                <w:bCs/>
                <w:sz w:val="24"/>
                <w:szCs w:val="24"/>
                <w:lang w:val="en-US"/>
              </w:rPr>
              <w:t xml:space="preserve">% Inc. S/ </w:t>
            </w:r>
            <w:proofErr w:type="spellStart"/>
            <w:r w:rsidRPr="00514FA1">
              <w:rPr>
                <w:rFonts w:cstheme="minorHAnsi"/>
                <w:b/>
                <w:bCs/>
                <w:sz w:val="24"/>
                <w:szCs w:val="24"/>
                <w:lang w:val="en-US"/>
              </w:rPr>
              <w:t>Precio</w:t>
            </w:r>
            <w:proofErr w:type="spellEnd"/>
          </w:p>
        </w:tc>
      </w:tr>
      <w:tr w:rsidR="00514FA1" w:rsidRPr="00514FA1" w14:paraId="06B143E6" w14:textId="77777777" w:rsidTr="00C4501A">
        <w:trPr>
          <w:trHeight w:val="699"/>
          <w:jc w:val="center"/>
        </w:trPr>
        <w:tc>
          <w:tcPr>
            <w:tcW w:w="2320" w:type="dxa"/>
            <w:tcBorders>
              <w:top w:val="single" w:sz="8" w:space="0" w:color="auto"/>
              <w:left w:val="single" w:sz="8" w:space="0" w:color="auto"/>
              <w:bottom w:val="nil"/>
              <w:right w:val="single" w:sz="8" w:space="0" w:color="auto"/>
            </w:tcBorders>
            <w:shd w:val="clear" w:color="auto" w:fill="FFFFFF"/>
            <w:noWrap/>
            <w:vAlign w:val="center"/>
            <w:hideMark/>
          </w:tcPr>
          <w:p w14:paraId="45EC6343" w14:textId="77777777" w:rsidR="00514FA1" w:rsidRPr="00514FA1" w:rsidRDefault="00514FA1" w:rsidP="0092058C">
            <w:pPr>
              <w:jc w:val="center"/>
              <w:rPr>
                <w:rFonts w:cstheme="minorHAnsi"/>
                <w:bCs/>
                <w:sz w:val="24"/>
                <w:szCs w:val="24"/>
                <w:lang w:val="en-US"/>
              </w:rPr>
            </w:pPr>
            <w:proofErr w:type="spellStart"/>
            <w:r w:rsidRPr="00514FA1">
              <w:rPr>
                <w:rFonts w:cstheme="minorHAnsi"/>
                <w:bCs/>
                <w:sz w:val="24"/>
                <w:szCs w:val="24"/>
                <w:lang w:val="en-US"/>
              </w:rPr>
              <w:t>Materiales</w:t>
            </w:r>
            <w:proofErr w:type="spellEnd"/>
          </w:p>
        </w:tc>
        <w:tc>
          <w:tcPr>
            <w:tcW w:w="2360" w:type="dxa"/>
            <w:tcBorders>
              <w:top w:val="nil"/>
              <w:left w:val="nil"/>
              <w:bottom w:val="nil"/>
              <w:right w:val="single" w:sz="8" w:space="0" w:color="auto"/>
            </w:tcBorders>
            <w:shd w:val="clear" w:color="auto" w:fill="FFFFFF"/>
            <w:noWrap/>
            <w:vAlign w:val="center"/>
            <w:hideMark/>
          </w:tcPr>
          <w:p w14:paraId="18A8D723" w14:textId="2D66B84D" w:rsidR="00514FA1" w:rsidRPr="00514FA1" w:rsidRDefault="0092058C" w:rsidP="0092058C">
            <w:pPr>
              <w:jc w:val="center"/>
              <w:rPr>
                <w:rFonts w:cstheme="minorHAnsi"/>
                <w:bCs/>
                <w:sz w:val="24"/>
                <w:szCs w:val="24"/>
                <w:lang w:val="en-US"/>
              </w:rPr>
            </w:pPr>
            <w:r>
              <w:rPr>
                <w:rFonts w:cstheme="minorHAnsi"/>
                <w:bCs/>
                <w:sz w:val="24"/>
                <w:szCs w:val="24"/>
                <w:lang w:val="en-US"/>
              </w:rPr>
              <w:t>$ 5.051,70</w:t>
            </w:r>
          </w:p>
        </w:tc>
        <w:tc>
          <w:tcPr>
            <w:tcW w:w="2500" w:type="dxa"/>
            <w:tcBorders>
              <w:top w:val="nil"/>
              <w:left w:val="nil"/>
              <w:bottom w:val="nil"/>
              <w:right w:val="single" w:sz="8" w:space="0" w:color="auto"/>
            </w:tcBorders>
            <w:shd w:val="clear" w:color="auto" w:fill="FFFFFF"/>
            <w:noWrap/>
            <w:vAlign w:val="center"/>
            <w:hideMark/>
          </w:tcPr>
          <w:p w14:paraId="20520C5E" w14:textId="18192D76" w:rsidR="00514FA1" w:rsidRPr="00514FA1" w:rsidRDefault="0092058C" w:rsidP="0092058C">
            <w:pPr>
              <w:jc w:val="center"/>
              <w:rPr>
                <w:rFonts w:cstheme="minorHAnsi"/>
                <w:bCs/>
                <w:sz w:val="24"/>
                <w:szCs w:val="24"/>
                <w:lang w:val="en-US"/>
              </w:rPr>
            </w:pPr>
            <w:r>
              <w:rPr>
                <w:rFonts w:cstheme="minorHAnsi"/>
                <w:bCs/>
                <w:sz w:val="24"/>
                <w:szCs w:val="24"/>
                <w:lang w:val="en-US"/>
              </w:rPr>
              <w:t>84</w:t>
            </w:r>
            <w:r w:rsidR="00514FA1" w:rsidRPr="00514FA1">
              <w:rPr>
                <w:rFonts w:cstheme="minorHAnsi"/>
                <w:bCs/>
                <w:sz w:val="24"/>
                <w:szCs w:val="24"/>
                <w:lang w:val="en-US"/>
              </w:rPr>
              <w:t>%</w:t>
            </w:r>
          </w:p>
        </w:tc>
      </w:tr>
      <w:tr w:rsidR="00514FA1" w:rsidRPr="00514FA1" w14:paraId="56EB4765" w14:textId="77777777" w:rsidTr="00C4501A">
        <w:trPr>
          <w:trHeight w:val="699"/>
          <w:jc w:val="center"/>
        </w:trPr>
        <w:tc>
          <w:tcPr>
            <w:tcW w:w="2320" w:type="dxa"/>
            <w:tcBorders>
              <w:top w:val="nil"/>
              <w:left w:val="single" w:sz="8" w:space="0" w:color="auto"/>
              <w:bottom w:val="nil"/>
              <w:right w:val="single" w:sz="8" w:space="0" w:color="auto"/>
            </w:tcBorders>
            <w:shd w:val="clear" w:color="auto" w:fill="FFFFFF"/>
            <w:noWrap/>
            <w:vAlign w:val="center"/>
            <w:hideMark/>
          </w:tcPr>
          <w:p w14:paraId="5986888C" w14:textId="77777777" w:rsidR="00514FA1" w:rsidRPr="00514FA1" w:rsidRDefault="00514FA1" w:rsidP="0092058C">
            <w:pPr>
              <w:jc w:val="center"/>
              <w:rPr>
                <w:rFonts w:cstheme="minorHAnsi"/>
                <w:bCs/>
                <w:sz w:val="24"/>
                <w:szCs w:val="24"/>
                <w:lang w:val="en-US"/>
              </w:rPr>
            </w:pPr>
            <w:proofErr w:type="spellStart"/>
            <w:r w:rsidRPr="00514FA1">
              <w:rPr>
                <w:rFonts w:cstheme="minorHAnsi"/>
                <w:bCs/>
                <w:sz w:val="24"/>
                <w:szCs w:val="24"/>
                <w:lang w:val="en-US"/>
              </w:rPr>
              <w:t>Equipos</w:t>
            </w:r>
            <w:proofErr w:type="spellEnd"/>
          </w:p>
        </w:tc>
        <w:tc>
          <w:tcPr>
            <w:tcW w:w="2360" w:type="dxa"/>
            <w:tcBorders>
              <w:top w:val="nil"/>
              <w:left w:val="nil"/>
              <w:bottom w:val="nil"/>
              <w:right w:val="single" w:sz="8" w:space="0" w:color="auto"/>
            </w:tcBorders>
            <w:shd w:val="clear" w:color="auto" w:fill="FFFFFF"/>
            <w:noWrap/>
            <w:vAlign w:val="center"/>
            <w:hideMark/>
          </w:tcPr>
          <w:p w14:paraId="19315354" w14:textId="60D8BCD8" w:rsidR="00514FA1" w:rsidRPr="00514FA1" w:rsidRDefault="00514FA1" w:rsidP="0092058C">
            <w:pPr>
              <w:jc w:val="center"/>
              <w:rPr>
                <w:rFonts w:cstheme="minorHAnsi"/>
                <w:bCs/>
                <w:sz w:val="24"/>
                <w:szCs w:val="24"/>
                <w:lang w:val="en-US"/>
              </w:rPr>
            </w:pPr>
            <w:r w:rsidRPr="00514FA1">
              <w:rPr>
                <w:rFonts w:cstheme="minorHAnsi"/>
                <w:bCs/>
                <w:sz w:val="24"/>
                <w:szCs w:val="24"/>
                <w:lang w:val="en-US"/>
              </w:rPr>
              <w:t xml:space="preserve">$ </w:t>
            </w:r>
            <w:r w:rsidR="0092058C">
              <w:rPr>
                <w:rFonts w:cstheme="minorHAnsi"/>
                <w:bCs/>
                <w:sz w:val="24"/>
                <w:szCs w:val="24"/>
                <w:lang w:val="en-US"/>
              </w:rPr>
              <w:t>653,32</w:t>
            </w:r>
          </w:p>
        </w:tc>
        <w:tc>
          <w:tcPr>
            <w:tcW w:w="2500" w:type="dxa"/>
            <w:tcBorders>
              <w:top w:val="nil"/>
              <w:left w:val="nil"/>
              <w:bottom w:val="nil"/>
              <w:right w:val="single" w:sz="8" w:space="0" w:color="auto"/>
            </w:tcBorders>
            <w:shd w:val="clear" w:color="auto" w:fill="FFFFFF"/>
            <w:noWrap/>
            <w:vAlign w:val="center"/>
            <w:hideMark/>
          </w:tcPr>
          <w:p w14:paraId="145689A5" w14:textId="2BFE08E8" w:rsidR="00514FA1" w:rsidRPr="00514FA1" w:rsidRDefault="0092058C" w:rsidP="0092058C">
            <w:pPr>
              <w:jc w:val="center"/>
              <w:rPr>
                <w:rFonts w:cstheme="minorHAnsi"/>
                <w:bCs/>
                <w:sz w:val="24"/>
                <w:szCs w:val="24"/>
                <w:lang w:val="en-US"/>
              </w:rPr>
            </w:pPr>
            <w:r>
              <w:rPr>
                <w:rFonts w:cstheme="minorHAnsi"/>
                <w:bCs/>
                <w:sz w:val="24"/>
                <w:szCs w:val="24"/>
                <w:lang w:val="en-US"/>
              </w:rPr>
              <w:t>11</w:t>
            </w:r>
            <w:r w:rsidR="00514FA1" w:rsidRPr="00514FA1">
              <w:rPr>
                <w:rFonts w:cstheme="minorHAnsi"/>
                <w:bCs/>
                <w:sz w:val="24"/>
                <w:szCs w:val="24"/>
                <w:lang w:val="en-US"/>
              </w:rPr>
              <w:t>%</w:t>
            </w:r>
          </w:p>
        </w:tc>
      </w:tr>
      <w:tr w:rsidR="00514FA1" w:rsidRPr="00514FA1" w14:paraId="026D1460" w14:textId="77777777" w:rsidTr="00C4501A">
        <w:trPr>
          <w:trHeight w:val="699"/>
          <w:jc w:val="center"/>
        </w:trPr>
        <w:tc>
          <w:tcPr>
            <w:tcW w:w="2320" w:type="dxa"/>
            <w:tcBorders>
              <w:top w:val="nil"/>
              <w:left w:val="single" w:sz="8" w:space="0" w:color="auto"/>
              <w:bottom w:val="single" w:sz="8" w:space="0" w:color="auto"/>
              <w:right w:val="single" w:sz="8" w:space="0" w:color="auto"/>
            </w:tcBorders>
            <w:shd w:val="clear" w:color="auto" w:fill="FFFFFF"/>
            <w:vAlign w:val="center"/>
            <w:hideMark/>
          </w:tcPr>
          <w:p w14:paraId="1B1EE056" w14:textId="77777777" w:rsidR="00514FA1" w:rsidRPr="00514FA1" w:rsidRDefault="00514FA1" w:rsidP="0092058C">
            <w:pPr>
              <w:jc w:val="center"/>
              <w:rPr>
                <w:rFonts w:cstheme="minorHAnsi"/>
                <w:bCs/>
                <w:sz w:val="24"/>
                <w:szCs w:val="24"/>
                <w:lang w:val="en-US"/>
              </w:rPr>
            </w:pPr>
            <w:r w:rsidRPr="00514FA1">
              <w:rPr>
                <w:rFonts w:cstheme="minorHAnsi"/>
                <w:bCs/>
                <w:sz w:val="24"/>
                <w:szCs w:val="24"/>
                <w:lang w:val="en-US"/>
              </w:rPr>
              <w:t xml:space="preserve">Mano de </w:t>
            </w:r>
            <w:proofErr w:type="spellStart"/>
            <w:r w:rsidRPr="00514FA1">
              <w:rPr>
                <w:rFonts w:cstheme="minorHAnsi"/>
                <w:bCs/>
                <w:sz w:val="24"/>
                <w:szCs w:val="24"/>
                <w:lang w:val="en-US"/>
              </w:rPr>
              <w:t>Obra</w:t>
            </w:r>
            <w:proofErr w:type="spellEnd"/>
          </w:p>
        </w:tc>
        <w:tc>
          <w:tcPr>
            <w:tcW w:w="2360" w:type="dxa"/>
            <w:tcBorders>
              <w:top w:val="nil"/>
              <w:left w:val="nil"/>
              <w:bottom w:val="nil"/>
              <w:right w:val="single" w:sz="8" w:space="0" w:color="auto"/>
            </w:tcBorders>
            <w:shd w:val="clear" w:color="auto" w:fill="FFFFFF"/>
            <w:noWrap/>
            <w:vAlign w:val="center"/>
            <w:hideMark/>
          </w:tcPr>
          <w:p w14:paraId="0A90F346" w14:textId="651F7660" w:rsidR="00514FA1" w:rsidRPr="00514FA1" w:rsidRDefault="00514FA1" w:rsidP="0092058C">
            <w:pPr>
              <w:jc w:val="center"/>
              <w:rPr>
                <w:rFonts w:cstheme="minorHAnsi"/>
                <w:bCs/>
                <w:sz w:val="24"/>
                <w:szCs w:val="24"/>
                <w:lang w:val="en-US"/>
              </w:rPr>
            </w:pPr>
            <w:r w:rsidRPr="00514FA1">
              <w:rPr>
                <w:rFonts w:cstheme="minorHAnsi"/>
                <w:bCs/>
                <w:sz w:val="24"/>
                <w:szCs w:val="24"/>
                <w:lang w:val="en-US"/>
              </w:rPr>
              <w:t xml:space="preserve">$ </w:t>
            </w:r>
            <w:r w:rsidR="0092058C">
              <w:rPr>
                <w:rFonts w:cstheme="minorHAnsi"/>
                <w:bCs/>
                <w:sz w:val="24"/>
                <w:szCs w:val="24"/>
                <w:lang w:val="en-US"/>
              </w:rPr>
              <w:t>317,18</w:t>
            </w:r>
          </w:p>
        </w:tc>
        <w:tc>
          <w:tcPr>
            <w:tcW w:w="2500" w:type="dxa"/>
            <w:tcBorders>
              <w:top w:val="nil"/>
              <w:left w:val="nil"/>
              <w:bottom w:val="single" w:sz="8" w:space="0" w:color="auto"/>
              <w:right w:val="single" w:sz="8" w:space="0" w:color="auto"/>
            </w:tcBorders>
            <w:shd w:val="clear" w:color="auto" w:fill="FFFFFF"/>
            <w:noWrap/>
            <w:vAlign w:val="center"/>
            <w:hideMark/>
          </w:tcPr>
          <w:p w14:paraId="75D18876" w14:textId="66A31AB8" w:rsidR="00514FA1" w:rsidRPr="00514FA1" w:rsidRDefault="00514FA1" w:rsidP="0092058C">
            <w:pPr>
              <w:jc w:val="center"/>
              <w:rPr>
                <w:rFonts w:cstheme="minorHAnsi"/>
                <w:bCs/>
                <w:sz w:val="24"/>
                <w:szCs w:val="24"/>
                <w:lang w:val="en-US"/>
              </w:rPr>
            </w:pPr>
            <w:r w:rsidRPr="00514FA1">
              <w:rPr>
                <w:rFonts w:cstheme="minorHAnsi"/>
                <w:bCs/>
                <w:sz w:val="24"/>
                <w:szCs w:val="24"/>
                <w:lang w:val="en-US"/>
              </w:rPr>
              <w:t>5%</w:t>
            </w:r>
          </w:p>
        </w:tc>
      </w:tr>
      <w:tr w:rsidR="00514FA1" w:rsidRPr="00514FA1" w14:paraId="330CE19C" w14:textId="77777777" w:rsidTr="00C4501A">
        <w:trPr>
          <w:trHeight w:val="540"/>
          <w:jc w:val="center"/>
        </w:trPr>
        <w:tc>
          <w:tcPr>
            <w:tcW w:w="2320" w:type="dxa"/>
            <w:tcBorders>
              <w:top w:val="nil"/>
              <w:left w:val="single" w:sz="8" w:space="0" w:color="auto"/>
              <w:bottom w:val="single" w:sz="8" w:space="0" w:color="auto"/>
              <w:right w:val="single" w:sz="8" w:space="0" w:color="auto"/>
            </w:tcBorders>
            <w:shd w:val="clear" w:color="auto" w:fill="FFFFFF"/>
            <w:noWrap/>
            <w:vAlign w:val="center"/>
            <w:hideMark/>
          </w:tcPr>
          <w:p w14:paraId="2DB363F1" w14:textId="77777777" w:rsidR="00514FA1" w:rsidRPr="00514FA1" w:rsidRDefault="00514FA1" w:rsidP="0092058C">
            <w:pPr>
              <w:jc w:val="center"/>
              <w:rPr>
                <w:rFonts w:cstheme="minorHAnsi"/>
                <w:bCs/>
                <w:sz w:val="24"/>
                <w:szCs w:val="24"/>
                <w:lang w:val="en-US"/>
              </w:rPr>
            </w:pPr>
            <w:r w:rsidRPr="00514FA1">
              <w:rPr>
                <w:rFonts w:cstheme="minorHAnsi"/>
                <w:bCs/>
                <w:sz w:val="24"/>
                <w:szCs w:val="24"/>
                <w:lang w:val="en-US"/>
              </w:rPr>
              <w:t>TOTAL</w:t>
            </w:r>
          </w:p>
        </w:tc>
        <w:tc>
          <w:tcPr>
            <w:tcW w:w="2360" w:type="dxa"/>
            <w:tcBorders>
              <w:top w:val="single" w:sz="8" w:space="0" w:color="auto"/>
              <w:left w:val="nil"/>
              <w:bottom w:val="single" w:sz="8" w:space="0" w:color="auto"/>
              <w:right w:val="single" w:sz="8" w:space="0" w:color="auto"/>
            </w:tcBorders>
            <w:shd w:val="clear" w:color="auto" w:fill="FFFFFF"/>
            <w:vAlign w:val="center"/>
            <w:hideMark/>
          </w:tcPr>
          <w:p w14:paraId="560DEFD1" w14:textId="4548CE6C" w:rsidR="00514FA1" w:rsidRPr="00514FA1" w:rsidRDefault="00514FA1" w:rsidP="0092058C">
            <w:pPr>
              <w:jc w:val="center"/>
              <w:rPr>
                <w:rFonts w:cstheme="minorHAnsi"/>
                <w:bCs/>
                <w:sz w:val="24"/>
                <w:szCs w:val="24"/>
                <w:lang w:val="en-US"/>
              </w:rPr>
            </w:pPr>
            <w:r w:rsidRPr="00514FA1">
              <w:rPr>
                <w:rFonts w:cstheme="minorHAnsi"/>
                <w:bCs/>
                <w:sz w:val="24"/>
                <w:szCs w:val="24"/>
                <w:lang w:val="en-US"/>
              </w:rPr>
              <w:t xml:space="preserve">$ </w:t>
            </w:r>
            <w:r w:rsidR="0092058C">
              <w:rPr>
                <w:rFonts w:cstheme="minorHAnsi"/>
                <w:bCs/>
                <w:sz w:val="24"/>
                <w:szCs w:val="24"/>
                <w:lang w:val="en-US"/>
              </w:rPr>
              <w:t>6.022,20</w:t>
            </w:r>
          </w:p>
        </w:tc>
        <w:tc>
          <w:tcPr>
            <w:tcW w:w="2500" w:type="dxa"/>
            <w:tcBorders>
              <w:top w:val="nil"/>
              <w:left w:val="nil"/>
              <w:bottom w:val="single" w:sz="8" w:space="0" w:color="auto"/>
              <w:right w:val="single" w:sz="8" w:space="0" w:color="auto"/>
            </w:tcBorders>
            <w:shd w:val="clear" w:color="auto" w:fill="FFFFFF"/>
            <w:noWrap/>
            <w:vAlign w:val="center"/>
            <w:hideMark/>
          </w:tcPr>
          <w:p w14:paraId="6FB5F88B" w14:textId="77777777" w:rsidR="00514FA1" w:rsidRPr="00514FA1" w:rsidRDefault="00514FA1" w:rsidP="0092058C">
            <w:pPr>
              <w:jc w:val="center"/>
              <w:rPr>
                <w:rFonts w:cstheme="minorHAnsi"/>
                <w:bCs/>
                <w:sz w:val="24"/>
                <w:szCs w:val="24"/>
                <w:lang w:val="en-US"/>
              </w:rPr>
            </w:pPr>
            <w:r w:rsidRPr="00514FA1">
              <w:rPr>
                <w:rFonts w:cstheme="minorHAnsi"/>
                <w:bCs/>
                <w:sz w:val="24"/>
                <w:szCs w:val="24"/>
                <w:lang w:val="en-US"/>
              </w:rPr>
              <w:t>100,00%</w:t>
            </w:r>
          </w:p>
        </w:tc>
      </w:tr>
    </w:tbl>
    <w:p w14:paraId="1037F3EB" w14:textId="77777777" w:rsidR="00514FA1" w:rsidRPr="00514FA1" w:rsidRDefault="00514FA1" w:rsidP="00514FA1">
      <w:pPr>
        <w:jc w:val="both"/>
        <w:rPr>
          <w:rFonts w:cstheme="minorHAnsi"/>
          <w:bCs/>
          <w:sz w:val="24"/>
          <w:szCs w:val="24"/>
          <w:lang w:val="es-AR"/>
        </w:rPr>
      </w:pPr>
    </w:p>
    <w:p w14:paraId="493BB245" w14:textId="0DF4282F" w:rsidR="0092058C" w:rsidRDefault="00514FA1" w:rsidP="00514FA1">
      <w:pPr>
        <w:jc w:val="both"/>
        <w:rPr>
          <w:rFonts w:cstheme="minorHAnsi"/>
          <w:bCs/>
          <w:sz w:val="24"/>
          <w:szCs w:val="24"/>
          <w:lang w:val="es-AR"/>
        </w:rPr>
      </w:pPr>
      <w:r w:rsidRPr="00514FA1">
        <w:rPr>
          <w:rFonts w:cstheme="minorHAnsi"/>
          <w:bCs/>
          <w:sz w:val="24"/>
          <w:szCs w:val="24"/>
          <w:lang w:val="es-AR"/>
        </w:rPr>
        <w:t>Los criterios de ajuste para contemplar la variación del precio de la</w:t>
      </w:r>
      <w:r w:rsidRPr="00514FA1">
        <w:rPr>
          <w:rFonts w:cstheme="minorHAnsi"/>
          <w:bCs/>
          <w:sz w:val="24"/>
          <w:szCs w:val="24"/>
          <w:lang w:val="es-AR"/>
        </w:rPr>
        <w:br/>
        <w:t>obra y consecuentemente el valor de cada cuota serán los siguientes y</w:t>
      </w:r>
      <w:r w:rsidRPr="00514FA1">
        <w:rPr>
          <w:rFonts w:cstheme="minorHAnsi"/>
          <w:bCs/>
          <w:sz w:val="24"/>
          <w:szCs w:val="24"/>
          <w:lang w:val="es-AR"/>
        </w:rPr>
        <w:br/>
        <w:t>para cada ítem arriba mencionado, desde la</w:t>
      </w:r>
      <w:r w:rsidR="0092058C">
        <w:rPr>
          <w:rFonts w:cstheme="minorHAnsi"/>
          <w:bCs/>
          <w:sz w:val="24"/>
          <w:szCs w:val="24"/>
          <w:lang w:val="es-AR"/>
        </w:rPr>
        <w:t xml:space="preserve"> fecha de aprobada la presente O</w:t>
      </w:r>
      <w:r w:rsidRPr="00514FA1">
        <w:rPr>
          <w:rFonts w:cstheme="minorHAnsi"/>
          <w:bCs/>
          <w:sz w:val="24"/>
          <w:szCs w:val="24"/>
          <w:lang w:val="es-AR"/>
        </w:rPr>
        <w:t>rdenanza y generado el correspondiente plan de pago:</w:t>
      </w:r>
    </w:p>
    <w:p w14:paraId="700ABEFA" w14:textId="34736021" w:rsidR="00514FA1" w:rsidRPr="00514FA1" w:rsidRDefault="00514FA1" w:rsidP="00514FA1">
      <w:pPr>
        <w:jc w:val="both"/>
        <w:rPr>
          <w:rFonts w:cstheme="minorHAnsi"/>
          <w:bCs/>
          <w:sz w:val="24"/>
          <w:szCs w:val="24"/>
          <w:lang w:val="es-AR"/>
        </w:rPr>
      </w:pPr>
      <w:r w:rsidRPr="00514FA1">
        <w:rPr>
          <w:rFonts w:cstheme="minorHAnsi"/>
          <w:bCs/>
          <w:sz w:val="24"/>
          <w:szCs w:val="24"/>
          <w:lang w:val="es-AR"/>
        </w:rPr>
        <w:br/>
        <w:t>MATERIALES: Incremento en porcentaje de la bolsa de cemento (según promedio de 3 presupuestos locales)</w:t>
      </w:r>
    </w:p>
    <w:p w14:paraId="674D5F6D" w14:textId="77777777" w:rsidR="00514FA1" w:rsidRPr="00514FA1" w:rsidRDefault="00514FA1" w:rsidP="00514FA1">
      <w:pPr>
        <w:jc w:val="both"/>
        <w:rPr>
          <w:rFonts w:cstheme="minorHAnsi"/>
          <w:bCs/>
          <w:sz w:val="24"/>
          <w:szCs w:val="24"/>
          <w:lang w:val="es-AR"/>
        </w:rPr>
      </w:pPr>
      <w:r w:rsidRPr="00514FA1">
        <w:rPr>
          <w:rFonts w:cstheme="minorHAnsi"/>
          <w:bCs/>
          <w:sz w:val="24"/>
          <w:szCs w:val="24"/>
          <w:lang w:val="es-AR"/>
        </w:rPr>
        <w:t>EQUIPOS: Incremento en porcentaje del gasoil común (según promedio de 3 presupuestos locales)</w:t>
      </w:r>
    </w:p>
    <w:p w14:paraId="1E52B3F0" w14:textId="77777777" w:rsidR="00514FA1" w:rsidRPr="00514FA1" w:rsidRDefault="00514FA1" w:rsidP="00514FA1">
      <w:pPr>
        <w:jc w:val="both"/>
        <w:rPr>
          <w:rFonts w:cstheme="minorHAnsi"/>
          <w:bCs/>
          <w:sz w:val="24"/>
          <w:szCs w:val="24"/>
          <w:lang w:val="es-AR"/>
        </w:rPr>
      </w:pPr>
      <w:r w:rsidRPr="00514FA1">
        <w:rPr>
          <w:rFonts w:cstheme="minorHAnsi"/>
          <w:bCs/>
          <w:sz w:val="24"/>
          <w:szCs w:val="24"/>
          <w:lang w:val="es-AR"/>
        </w:rPr>
        <w:t>MANO DE OBRA: Aumento en porcentaje de categoría de 10 según escala salarial.</w:t>
      </w:r>
    </w:p>
    <w:p w14:paraId="65CDC1C5" w14:textId="7DC02ECF" w:rsidR="00514FA1" w:rsidRPr="00514FA1" w:rsidRDefault="0092058C" w:rsidP="00514FA1">
      <w:pPr>
        <w:jc w:val="both"/>
        <w:rPr>
          <w:rFonts w:cstheme="minorHAnsi"/>
          <w:bCs/>
          <w:sz w:val="24"/>
          <w:szCs w:val="24"/>
          <w:lang w:val="es-AR"/>
        </w:rPr>
      </w:pPr>
      <w:r w:rsidRPr="0092058C">
        <w:rPr>
          <w:rFonts w:cstheme="minorHAnsi"/>
          <w:bCs/>
          <w:sz w:val="24"/>
          <w:szCs w:val="24"/>
          <w:lang w:val="es-AR"/>
        </w:rPr>
        <w:lastRenderedPageBreak/>
        <w:t>ARTÍCULO 9°)</w:t>
      </w:r>
      <w:r w:rsidR="00514FA1" w:rsidRPr="00514FA1">
        <w:rPr>
          <w:rFonts w:cstheme="minorHAnsi"/>
          <w:b/>
          <w:bCs/>
          <w:sz w:val="24"/>
          <w:szCs w:val="24"/>
          <w:lang w:val="es-AR"/>
        </w:rPr>
        <w:t xml:space="preserve"> </w:t>
      </w:r>
      <w:r w:rsidR="00514FA1" w:rsidRPr="00514FA1">
        <w:rPr>
          <w:rFonts w:cstheme="minorHAnsi"/>
          <w:bCs/>
          <w:sz w:val="24"/>
          <w:szCs w:val="24"/>
          <w:lang w:val="es-AR"/>
        </w:rPr>
        <w:t>La ejecución de la obra, podrá ser modificada en su ritmo por el Departamento Ejecutivo Municipal, conforme las circunstancias técnicas o económicas lo exijan, sin que en ningún caso puedan superarse los límites máximos fijados por el cronograma en cada tramo en particular. Esta modificación de ritmo de ejecución no da derecho alguno a los contribuyentes de mejoras para modificar el cumplimiento de pago mínimo fijado para cada tramo por el decreto respectivo.</w:t>
      </w:r>
    </w:p>
    <w:p w14:paraId="218F9CA0" w14:textId="447A8560" w:rsidR="00514FA1" w:rsidRPr="00514FA1" w:rsidRDefault="0092058C" w:rsidP="00514FA1">
      <w:pPr>
        <w:jc w:val="both"/>
        <w:rPr>
          <w:rFonts w:cstheme="minorHAnsi"/>
          <w:bCs/>
          <w:sz w:val="24"/>
          <w:szCs w:val="24"/>
          <w:lang w:val="es-AR"/>
        </w:rPr>
      </w:pPr>
      <w:r w:rsidRPr="0092058C">
        <w:rPr>
          <w:rFonts w:cstheme="minorHAnsi"/>
          <w:bCs/>
          <w:sz w:val="24"/>
          <w:szCs w:val="24"/>
          <w:lang w:val="es-AR"/>
        </w:rPr>
        <w:t>ARTÍCULO 10°)</w:t>
      </w:r>
      <w:r w:rsidR="00514FA1" w:rsidRPr="00514FA1">
        <w:rPr>
          <w:rFonts w:cstheme="minorHAnsi"/>
          <w:b/>
          <w:bCs/>
          <w:sz w:val="24"/>
          <w:szCs w:val="24"/>
          <w:lang w:val="es-AR"/>
        </w:rPr>
        <w:t xml:space="preserve"> </w:t>
      </w:r>
      <w:r w:rsidR="00514FA1" w:rsidRPr="00514FA1">
        <w:rPr>
          <w:rFonts w:cstheme="minorHAnsi"/>
          <w:bCs/>
          <w:sz w:val="24"/>
          <w:szCs w:val="24"/>
          <w:lang w:val="es-AR"/>
        </w:rPr>
        <w:t>El precio a los fines de lo di</w:t>
      </w:r>
      <w:r>
        <w:rPr>
          <w:rFonts w:cstheme="minorHAnsi"/>
          <w:bCs/>
          <w:sz w:val="24"/>
          <w:szCs w:val="24"/>
          <w:lang w:val="es-AR"/>
        </w:rPr>
        <w:t>spuesto en el Artículo 8°),</w:t>
      </w:r>
      <w:r w:rsidR="00514FA1" w:rsidRPr="00514FA1">
        <w:rPr>
          <w:rFonts w:cstheme="minorHAnsi"/>
          <w:bCs/>
          <w:sz w:val="24"/>
          <w:szCs w:val="24"/>
          <w:lang w:val="es-AR"/>
        </w:rPr>
        <w:t xml:space="preserve"> y como base para el valor tot</w:t>
      </w:r>
      <w:r>
        <w:rPr>
          <w:rFonts w:cstheme="minorHAnsi"/>
          <w:bCs/>
          <w:sz w:val="24"/>
          <w:szCs w:val="24"/>
          <w:lang w:val="es-AR"/>
        </w:rPr>
        <w:t>al de la obra se fija en $ 5.051,70</w:t>
      </w:r>
      <w:r w:rsidR="00514FA1" w:rsidRPr="00514FA1">
        <w:rPr>
          <w:rFonts w:cstheme="minorHAnsi"/>
          <w:bCs/>
          <w:sz w:val="24"/>
          <w:szCs w:val="24"/>
          <w:lang w:val="es-AR"/>
        </w:rPr>
        <w:t xml:space="preserve"> (Pesos: cinco mil </w:t>
      </w:r>
      <w:r>
        <w:rPr>
          <w:rFonts w:cstheme="minorHAnsi"/>
          <w:bCs/>
          <w:sz w:val="24"/>
          <w:szCs w:val="24"/>
          <w:lang w:val="es-AR"/>
        </w:rPr>
        <w:t>cincuenta y uno</w:t>
      </w:r>
      <w:r w:rsidR="00514FA1" w:rsidRPr="00514FA1">
        <w:rPr>
          <w:rFonts w:cstheme="minorHAnsi"/>
          <w:bCs/>
          <w:sz w:val="24"/>
          <w:szCs w:val="24"/>
          <w:lang w:val="es-AR"/>
        </w:rPr>
        <w:t xml:space="preserve"> con </w:t>
      </w:r>
      <w:r>
        <w:rPr>
          <w:rFonts w:cstheme="minorHAnsi"/>
          <w:bCs/>
          <w:sz w:val="24"/>
          <w:szCs w:val="24"/>
          <w:lang w:val="es-AR"/>
        </w:rPr>
        <w:t>setenta</w:t>
      </w:r>
      <w:r w:rsidR="00514FA1" w:rsidRPr="00514FA1">
        <w:rPr>
          <w:rFonts w:cstheme="minorHAnsi"/>
          <w:bCs/>
          <w:sz w:val="24"/>
          <w:szCs w:val="24"/>
          <w:lang w:val="es-AR"/>
        </w:rPr>
        <w:t xml:space="preserve"> centavos), por metro cuadrado de hormigón de 18 cm de espesor. </w:t>
      </w:r>
    </w:p>
    <w:p w14:paraId="1D787BD8" w14:textId="34DFEF4F" w:rsidR="00514FA1" w:rsidRPr="00514FA1" w:rsidRDefault="0092058C" w:rsidP="00514FA1">
      <w:pPr>
        <w:jc w:val="both"/>
        <w:rPr>
          <w:rFonts w:cstheme="minorHAnsi"/>
          <w:bCs/>
          <w:sz w:val="24"/>
          <w:szCs w:val="24"/>
          <w:lang w:val="es-AR"/>
        </w:rPr>
      </w:pPr>
      <w:r w:rsidRPr="0092058C">
        <w:rPr>
          <w:rFonts w:cstheme="minorHAnsi"/>
          <w:bCs/>
          <w:sz w:val="24"/>
          <w:szCs w:val="24"/>
          <w:lang w:val="es-AR"/>
        </w:rPr>
        <w:t>ARTÍCULO 11°)</w:t>
      </w:r>
      <w:r w:rsidR="00514FA1" w:rsidRPr="00514FA1">
        <w:rPr>
          <w:rFonts w:cstheme="minorHAnsi"/>
          <w:b/>
          <w:bCs/>
          <w:sz w:val="24"/>
          <w:szCs w:val="24"/>
          <w:lang w:val="es-AR"/>
        </w:rPr>
        <w:t xml:space="preserve"> </w:t>
      </w:r>
      <w:r w:rsidR="00514FA1" w:rsidRPr="00514FA1">
        <w:rPr>
          <w:rFonts w:cstheme="minorHAnsi"/>
          <w:bCs/>
          <w:sz w:val="24"/>
          <w:szCs w:val="24"/>
          <w:lang w:val="es-AR"/>
        </w:rPr>
        <w:t xml:space="preserve">Para el cálculo de contribución total de cada frentista, por el pavimento de hormigón, se procederá a multiplicar el valor fijado por metro cuadrado de pavimento, por la cantidad de metros lineales de frente y este resultado a su vez, por el </w:t>
      </w:r>
      <w:proofErr w:type="spellStart"/>
      <w:r w:rsidR="00514FA1" w:rsidRPr="00514FA1">
        <w:rPr>
          <w:rFonts w:cstheme="minorHAnsi"/>
          <w:bCs/>
          <w:sz w:val="24"/>
          <w:szCs w:val="24"/>
          <w:lang w:val="es-AR"/>
        </w:rPr>
        <w:t>semiancho</w:t>
      </w:r>
      <w:proofErr w:type="spellEnd"/>
      <w:r w:rsidR="00514FA1" w:rsidRPr="00514FA1">
        <w:rPr>
          <w:rFonts w:cstheme="minorHAnsi"/>
          <w:bCs/>
          <w:sz w:val="24"/>
          <w:szCs w:val="24"/>
          <w:lang w:val="es-AR"/>
        </w:rPr>
        <w:t xml:space="preserve"> de la calzada respectiva. Sobre este producto final, se fijará en el Decreto Reglamentario respectivo, el porcentaje de anticipo</w:t>
      </w:r>
      <w:r>
        <w:rPr>
          <w:rFonts w:cstheme="minorHAnsi"/>
          <w:bCs/>
          <w:sz w:val="24"/>
          <w:szCs w:val="24"/>
          <w:lang w:val="es-AR"/>
        </w:rPr>
        <w:t xml:space="preserve"> del 30%</w:t>
      </w:r>
      <w:r w:rsidR="00514FA1" w:rsidRPr="00514FA1">
        <w:rPr>
          <w:rFonts w:cstheme="minorHAnsi"/>
          <w:bCs/>
          <w:sz w:val="24"/>
          <w:szCs w:val="24"/>
          <w:lang w:val="es-AR"/>
        </w:rPr>
        <w:t xml:space="preserve"> que deberán abonar los frentistas para iniciar la obra; la forma de pago del saldo del plazo de ejecución y fecha de vencimiento, sobre la base de un máximo de 48 cuotas con una tasa de interés del 1% mensual sobre saldo. Para aquellos casos de pago al contado dentro de los 30 días de iniciada la obra se los beneficiará con el 10% de descuento.</w:t>
      </w:r>
    </w:p>
    <w:p w14:paraId="3233DF84" w14:textId="3E9C6045" w:rsidR="00514FA1" w:rsidRPr="00514FA1" w:rsidRDefault="0092058C" w:rsidP="00514FA1">
      <w:pPr>
        <w:jc w:val="both"/>
        <w:rPr>
          <w:rFonts w:cstheme="minorHAnsi"/>
          <w:bCs/>
          <w:sz w:val="24"/>
          <w:szCs w:val="24"/>
          <w:lang w:val="es-AR"/>
        </w:rPr>
      </w:pPr>
      <w:r w:rsidRPr="0092058C">
        <w:rPr>
          <w:rFonts w:cstheme="minorHAnsi"/>
          <w:bCs/>
          <w:sz w:val="24"/>
          <w:szCs w:val="24"/>
          <w:lang w:val="es-AR"/>
        </w:rPr>
        <w:t>ARTÍCULO 12°)</w:t>
      </w:r>
      <w:r w:rsidR="00514FA1" w:rsidRPr="00514FA1">
        <w:rPr>
          <w:rFonts w:cstheme="minorHAnsi"/>
          <w:b/>
          <w:bCs/>
          <w:sz w:val="24"/>
          <w:szCs w:val="24"/>
          <w:lang w:val="es-AR"/>
        </w:rPr>
        <w:t xml:space="preserve"> </w:t>
      </w:r>
      <w:r w:rsidR="00514FA1" w:rsidRPr="00514FA1">
        <w:rPr>
          <w:rFonts w:cstheme="minorHAnsi"/>
          <w:bCs/>
          <w:sz w:val="24"/>
          <w:szCs w:val="24"/>
          <w:lang w:val="es-AR"/>
        </w:rPr>
        <w:t xml:space="preserve">Las cuotas de contribución de mejoras pertenecientes a cada tramo de la obra de </w:t>
      </w:r>
      <w:r>
        <w:rPr>
          <w:rFonts w:cstheme="minorHAnsi"/>
          <w:bCs/>
          <w:sz w:val="24"/>
          <w:szCs w:val="24"/>
          <w:lang w:val="es-AR"/>
        </w:rPr>
        <w:t>pavimentación, vencerán el último</w:t>
      </w:r>
      <w:r w:rsidR="00514FA1" w:rsidRPr="00514FA1">
        <w:rPr>
          <w:rFonts w:cstheme="minorHAnsi"/>
          <w:bCs/>
          <w:sz w:val="24"/>
          <w:szCs w:val="24"/>
          <w:lang w:val="es-AR"/>
        </w:rPr>
        <w:t xml:space="preserve"> día de cada mes, la mora será automática e incluyéndose los accesorios d</w:t>
      </w:r>
      <w:r>
        <w:rPr>
          <w:rFonts w:cstheme="minorHAnsi"/>
          <w:bCs/>
          <w:sz w:val="24"/>
          <w:szCs w:val="24"/>
          <w:lang w:val="es-AR"/>
        </w:rPr>
        <w:t>e acuerdo a lo previsto en las O</w:t>
      </w:r>
      <w:r w:rsidR="00514FA1" w:rsidRPr="00514FA1">
        <w:rPr>
          <w:rFonts w:cstheme="minorHAnsi"/>
          <w:bCs/>
          <w:sz w:val="24"/>
          <w:szCs w:val="24"/>
          <w:lang w:val="es-AR"/>
        </w:rPr>
        <w:t>rdenanzas vigentes.</w:t>
      </w:r>
    </w:p>
    <w:p w14:paraId="0B12A0D3" w14:textId="1AC32BAD" w:rsidR="00514FA1" w:rsidRPr="00514FA1" w:rsidRDefault="0092058C" w:rsidP="00514FA1">
      <w:pPr>
        <w:jc w:val="both"/>
        <w:rPr>
          <w:rFonts w:cstheme="minorHAnsi"/>
          <w:bCs/>
          <w:sz w:val="24"/>
          <w:szCs w:val="24"/>
          <w:lang w:val="es-AR"/>
        </w:rPr>
      </w:pPr>
      <w:r w:rsidRPr="0092058C">
        <w:rPr>
          <w:rFonts w:cstheme="minorHAnsi"/>
          <w:bCs/>
          <w:sz w:val="24"/>
          <w:szCs w:val="24"/>
          <w:lang w:val="es-AR"/>
        </w:rPr>
        <w:t>ARTÍCULO 13°)</w:t>
      </w:r>
      <w:r w:rsidR="00514FA1" w:rsidRPr="00514FA1">
        <w:rPr>
          <w:rFonts w:cstheme="minorHAnsi"/>
          <w:bCs/>
          <w:sz w:val="24"/>
          <w:szCs w:val="24"/>
          <w:lang w:val="es-AR"/>
        </w:rPr>
        <w:t xml:space="preserve"> La falta de p</w:t>
      </w:r>
      <w:r w:rsidR="0066183A">
        <w:rPr>
          <w:rFonts w:cstheme="minorHAnsi"/>
          <w:bCs/>
          <w:sz w:val="24"/>
          <w:szCs w:val="24"/>
          <w:lang w:val="es-AR"/>
        </w:rPr>
        <w:t>ago en término de tres cuotas consecutivas o seis</w:t>
      </w:r>
      <w:r w:rsidR="00514FA1" w:rsidRPr="00514FA1">
        <w:rPr>
          <w:rFonts w:cstheme="minorHAnsi"/>
          <w:bCs/>
          <w:sz w:val="24"/>
          <w:szCs w:val="24"/>
          <w:lang w:val="es-AR"/>
        </w:rPr>
        <w:t xml:space="preserve"> alternadas dará derecho a la Municipalidad de Ceres a considerar el saldo de la deuda total como de plazo vencido sin necesidad de interpelación judicial o extrajudicial alguna, con más las actualizaciones, e intereses, de acuerdo a lo dispuesto en el Código Tributario Municipal, Ordenanza General Impositiva y disposiciones complementarias, todo ello con prescindencia del estado de ejecución de la obra.</w:t>
      </w:r>
    </w:p>
    <w:p w14:paraId="64B07845" w14:textId="432F4BA0" w:rsidR="00514FA1" w:rsidRPr="00514FA1" w:rsidRDefault="0066183A" w:rsidP="00514FA1">
      <w:pPr>
        <w:jc w:val="both"/>
        <w:rPr>
          <w:rFonts w:cstheme="minorHAnsi"/>
          <w:bCs/>
          <w:sz w:val="24"/>
          <w:szCs w:val="24"/>
          <w:lang w:val="es-AR"/>
        </w:rPr>
      </w:pPr>
      <w:r w:rsidRPr="0066183A">
        <w:rPr>
          <w:rFonts w:cstheme="minorHAnsi"/>
          <w:bCs/>
          <w:sz w:val="24"/>
          <w:szCs w:val="24"/>
          <w:lang w:val="es-AR"/>
        </w:rPr>
        <w:t>ARTÍCULO 14°)</w:t>
      </w:r>
      <w:r w:rsidR="00514FA1" w:rsidRPr="00514FA1">
        <w:rPr>
          <w:rFonts w:cstheme="minorHAnsi"/>
          <w:bCs/>
          <w:sz w:val="24"/>
          <w:szCs w:val="24"/>
          <w:lang w:val="es-AR"/>
        </w:rPr>
        <w:t xml:space="preserve"> Los inmuebles beneficiados quedan afectados al pago de la obra, no pudiendo extenderse escritura alguna que afecte el dominio hasta el pago total y definitivo de la misma, con excepción que el comprador reconozca la misma y asuma un compromiso de pago a su nombre, dejándose expresa constancia en la libre deuda respectivo. </w:t>
      </w:r>
    </w:p>
    <w:p w14:paraId="6102E30E" w14:textId="35086AA9" w:rsidR="00514FA1" w:rsidRPr="00514FA1" w:rsidRDefault="0066183A" w:rsidP="00514FA1">
      <w:pPr>
        <w:jc w:val="both"/>
        <w:rPr>
          <w:rFonts w:cstheme="minorHAnsi"/>
          <w:bCs/>
          <w:sz w:val="24"/>
          <w:szCs w:val="24"/>
          <w:lang w:val="es-AR"/>
        </w:rPr>
      </w:pPr>
      <w:r w:rsidRPr="0066183A">
        <w:rPr>
          <w:rFonts w:cstheme="minorHAnsi"/>
          <w:bCs/>
          <w:sz w:val="24"/>
          <w:szCs w:val="24"/>
          <w:lang w:val="es-AR"/>
        </w:rPr>
        <w:t>ARTÍCULO 15°)</w:t>
      </w:r>
      <w:r w:rsidR="00514FA1" w:rsidRPr="00514FA1">
        <w:rPr>
          <w:rFonts w:cstheme="minorHAnsi"/>
          <w:bCs/>
          <w:sz w:val="24"/>
          <w:szCs w:val="24"/>
          <w:lang w:val="es-AR"/>
        </w:rPr>
        <w:t xml:space="preserve"> Para el caso de frentistas que tengan dificultades en el pago de la obra de referencia, ya sean propietarios de escasos recursos y/o jubilados y pensionados que perciban </w:t>
      </w:r>
      <w:r w:rsidR="00514FA1" w:rsidRPr="00514FA1">
        <w:rPr>
          <w:rFonts w:cstheme="minorHAnsi"/>
          <w:bCs/>
          <w:sz w:val="24"/>
          <w:szCs w:val="24"/>
          <w:lang w:val="es-AR"/>
        </w:rPr>
        <w:lastRenderedPageBreak/>
        <w:t xml:space="preserve">haberes mínimos (que no superen los $33.000,00 mensuales) y se trate de vivienda única con ocupación permanente. </w:t>
      </w:r>
      <w:proofErr w:type="spellStart"/>
      <w:r w:rsidR="00514FA1" w:rsidRPr="00514FA1">
        <w:rPr>
          <w:rFonts w:cstheme="minorHAnsi"/>
          <w:bCs/>
          <w:sz w:val="24"/>
          <w:szCs w:val="24"/>
          <w:lang w:val="es-AR"/>
        </w:rPr>
        <w:t>Facúltase</w:t>
      </w:r>
      <w:proofErr w:type="spellEnd"/>
      <w:r w:rsidR="00514FA1" w:rsidRPr="00514FA1">
        <w:rPr>
          <w:rFonts w:cstheme="minorHAnsi"/>
          <w:bCs/>
          <w:sz w:val="24"/>
          <w:szCs w:val="24"/>
          <w:lang w:val="es-AR"/>
        </w:rPr>
        <w:t xml:space="preserve"> al departamento Ejecutivo Municipal a celebrar convenios de pago hasta en 60 cuotas mensuales, iguales y consecutivas, con un interés del 1% mensual sobre saldo. Dispóngase la creación de un Registro Especial por el plazo de 60 días para las personas encuadradas en la situación ut-supra referida, practicándose el pertinente informe socio-económico que será elaborado por las Asistentes Sociales del Municipio. </w:t>
      </w:r>
    </w:p>
    <w:p w14:paraId="526DEEDF" w14:textId="05EE4DD7" w:rsidR="00514FA1" w:rsidRPr="00514FA1" w:rsidRDefault="0066183A" w:rsidP="00514FA1">
      <w:pPr>
        <w:jc w:val="both"/>
        <w:rPr>
          <w:rFonts w:cstheme="minorHAnsi"/>
          <w:bCs/>
          <w:sz w:val="24"/>
          <w:szCs w:val="24"/>
          <w:lang w:val="es-AR"/>
        </w:rPr>
      </w:pPr>
      <w:r w:rsidRPr="0066183A">
        <w:rPr>
          <w:rFonts w:cstheme="minorHAnsi"/>
          <w:bCs/>
          <w:sz w:val="24"/>
          <w:szCs w:val="24"/>
          <w:lang w:val="es-AR"/>
        </w:rPr>
        <w:t>ARTÍCULO 16°)</w:t>
      </w:r>
      <w:r w:rsidR="00514FA1" w:rsidRPr="00514FA1">
        <w:rPr>
          <w:rFonts w:cstheme="minorHAnsi"/>
          <w:bCs/>
          <w:sz w:val="24"/>
          <w:szCs w:val="24"/>
          <w:lang w:val="es-AR"/>
        </w:rPr>
        <w:t xml:space="preserve"> </w:t>
      </w:r>
      <w:r>
        <w:rPr>
          <w:rFonts w:cstheme="minorHAnsi"/>
          <w:bCs/>
          <w:sz w:val="24"/>
          <w:szCs w:val="24"/>
          <w:lang w:val="es-AR"/>
        </w:rPr>
        <w:t>Infórmese semestralmente al Concejo Municipal, la situación de quienes se hayan acogido a dicho registro.</w:t>
      </w:r>
    </w:p>
    <w:p w14:paraId="1A708543" w14:textId="6A804983" w:rsidR="00107838" w:rsidRPr="00E6102F" w:rsidRDefault="000325FC" w:rsidP="00D12F87">
      <w:pPr>
        <w:jc w:val="both"/>
        <w:rPr>
          <w:rFonts w:cstheme="minorHAnsi"/>
          <w:sz w:val="24"/>
          <w:szCs w:val="24"/>
        </w:rPr>
      </w:pPr>
      <w:r>
        <w:rPr>
          <w:rFonts w:cstheme="minorHAnsi"/>
          <w:sz w:val="24"/>
          <w:szCs w:val="24"/>
        </w:rPr>
        <w:t>A</w:t>
      </w:r>
      <w:r w:rsidR="0066183A">
        <w:rPr>
          <w:rFonts w:cstheme="minorHAnsi"/>
          <w:sz w:val="24"/>
          <w:szCs w:val="24"/>
        </w:rPr>
        <w:t>RTICULO 17</w:t>
      </w:r>
      <w:r w:rsidR="00107838" w:rsidRPr="00E6102F">
        <w:rPr>
          <w:rFonts w:cstheme="minorHAnsi"/>
          <w:sz w:val="24"/>
          <w:szCs w:val="24"/>
        </w:rPr>
        <w:t>°) Elévese al Departamento Ejecutivo Municipal de Ceres, a sus efectos.  Comuníquese, publíquese y oportunamente archívese.</w:t>
      </w:r>
    </w:p>
    <w:p w14:paraId="69B529B6" w14:textId="177C8CC9" w:rsidR="00B2197C" w:rsidRPr="00E6102F" w:rsidRDefault="00B2197C" w:rsidP="00D12F87">
      <w:pPr>
        <w:jc w:val="both"/>
        <w:rPr>
          <w:rFonts w:cstheme="minorHAnsi"/>
          <w:sz w:val="24"/>
          <w:szCs w:val="24"/>
        </w:rPr>
      </w:pPr>
      <w:r w:rsidRPr="00E6102F">
        <w:rPr>
          <w:rFonts w:cstheme="minorHAnsi"/>
          <w:sz w:val="24"/>
          <w:szCs w:val="24"/>
        </w:rPr>
        <w:tab/>
        <w:t xml:space="preserve">Dada en la Sala de Sesiones del H. Concejo </w:t>
      </w:r>
      <w:r w:rsidR="00107838" w:rsidRPr="00E6102F">
        <w:rPr>
          <w:rFonts w:cstheme="minorHAnsi"/>
          <w:sz w:val="24"/>
          <w:szCs w:val="24"/>
        </w:rPr>
        <w:t>Municipa</w:t>
      </w:r>
      <w:r w:rsidR="00624803" w:rsidRPr="00E6102F">
        <w:rPr>
          <w:rFonts w:cstheme="minorHAnsi"/>
          <w:sz w:val="24"/>
          <w:szCs w:val="24"/>
        </w:rPr>
        <w:t xml:space="preserve">l de Ceres, a los </w:t>
      </w:r>
      <w:r w:rsidR="000325FC">
        <w:rPr>
          <w:rFonts w:cstheme="minorHAnsi"/>
          <w:sz w:val="24"/>
          <w:szCs w:val="24"/>
        </w:rPr>
        <w:t>dieciocho</w:t>
      </w:r>
      <w:r w:rsidR="000A1371" w:rsidRPr="00E6102F">
        <w:rPr>
          <w:rFonts w:cstheme="minorHAnsi"/>
          <w:sz w:val="24"/>
          <w:szCs w:val="24"/>
        </w:rPr>
        <w:t xml:space="preserve"> días del mes de </w:t>
      </w:r>
      <w:r w:rsidR="0060618C" w:rsidRPr="00E6102F">
        <w:rPr>
          <w:rFonts w:cstheme="minorHAnsi"/>
          <w:sz w:val="24"/>
          <w:szCs w:val="24"/>
        </w:rPr>
        <w:t>febrero de dos mil veintidós. -</w:t>
      </w:r>
    </w:p>
    <w:p w14:paraId="660E2B2B" w14:textId="77777777" w:rsidR="00B2197C" w:rsidRPr="00E6102F" w:rsidRDefault="00B2197C" w:rsidP="00D12F87">
      <w:pPr>
        <w:jc w:val="both"/>
        <w:rPr>
          <w:rFonts w:cstheme="minorHAnsi"/>
          <w:sz w:val="24"/>
          <w:szCs w:val="24"/>
        </w:rPr>
      </w:pPr>
    </w:p>
    <w:sectPr w:rsidR="00B2197C" w:rsidRPr="00E6102F" w:rsidSect="00D2012F">
      <w:headerReference w:type="default" r:id="rId8"/>
      <w:footerReference w:type="default" r:id="rId9"/>
      <w:pgSz w:w="11906" w:h="16838" w:code="9"/>
      <w:pgMar w:top="720" w:right="1134" w:bottom="3119"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F4E61" w14:textId="77777777" w:rsidR="00983D13" w:rsidRDefault="00983D13" w:rsidP="008327C8">
      <w:pPr>
        <w:spacing w:after="0" w:line="240" w:lineRule="auto"/>
      </w:pPr>
      <w:r>
        <w:separator/>
      </w:r>
    </w:p>
  </w:endnote>
  <w:endnote w:type="continuationSeparator" w:id="0">
    <w:p w14:paraId="7D370E36" w14:textId="77777777" w:rsidR="00983D13" w:rsidRDefault="00983D13"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AE7A" w14:textId="77777777" w:rsidR="00635C78" w:rsidRDefault="00635C78" w:rsidP="008327C8">
    <w:pPr>
      <w:pStyle w:val="Piedepgina"/>
      <w:ind w:left="397" w:right="57"/>
      <w:rPr>
        <w:sz w:val="20"/>
        <w:szCs w:val="20"/>
      </w:rPr>
    </w:pPr>
    <w:r>
      <w:rPr>
        <w:noProof/>
        <w:lang w:val="es-AR" w:eastAsia="es-AR"/>
      </w:rPr>
      <mc:AlternateContent>
        <mc:Choice Requires="wps">
          <w:drawing>
            <wp:anchor distT="0" distB="0" distL="114300" distR="114300" simplePos="0" relativeHeight="251660288" behindDoc="0" locked="0" layoutInCell="1" allowOverlap="1" wp14:anchorId="788465AE" wp14:editId="0A3DAC24">
              <wp:simplePos x="0" y="0"/>
              <wp:positionH relativeFrom="margin">
                <wp:posOffset>-222250</wp:posOffset>
              </wp:positionH>
              <wp:positionV relativeFrom="paragraph">
                <wp:posOffset>226505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0D4E24" id="Conector recto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17.5pt,17.85pt" to="551.7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" strokecolor="black [3200]" strokeweight=".5pt">
              <v:stroke joinstyle="miter"/>
              <w10:wrap anchorx="margin"/>
            </v:line>
          </w:pict>
        </mc:Fallback>
      </mc:AlternateContent>
    </w:r>
  </w:p>
  <w:p w14:paraId="177047E7" w14:textId="77777777" w:rsidR="00635C78" w:rsidRDefault="00635C78" w:rsidP="008327C8">
    <w:pPr>
      <w:pStyle w:val="Piedepgina"/>
      <w:ind w:left="-737"/>
      <w:rPr>
        <w:sz w:val="20"/>
        <w:szCs w:val="20"/>
      </w:rPr>
    </w:pPr>
  </w:p>
  <w:p w14:paraId="49832AA1" w14:textId="77777777" w:rsidR="00635C78" w:rsidRPr="00C2759C" w:rsidRDefault="00635C78" w:rsidP="008327C8">
    <w:pPr>
      <w:pStyle w:val="Piedepgina"/>
      <w:ind w:left="-737"/>
      <w:rPr>
        <w:sz w:val="20"/>
        <w:szCs w:val="20"/>
      </w:rPr>
    </w:pPr>
    <w:r>
      <w:rPr>
        <w:sz w:val="20"/>
        <w:szCs w:val="20"/>
      </w:rPr>
      <w:t xml:space="preserve">                    </w:t>
    </w:r>
    <w:r w:rsidRPr="00C2759C">
      <w:rPr>
        <w:sz w:val="20"/>
        <w:szCs w:val="20"/>
      </w:rPr>
      <w:t>Avda. T. Malb</w:t>
    </w:r>
    <w:r>
      <w:rPr>
        <w:sz w:val="20"/>
        <w:szCs w:val="20"/>
      </w:rPr>
      <w:t>rán N° 75 – Telefax: 03491 – 42</w:t>
    </w:r>
    <w:r w:rsidRPr="00C2759C">
      <w:rPr>
        <w:sz w:val="20"/>
        <w:szCs w:val="20"/>
      </w:rPr>
      <w:t>0033/422434 – e-mail:concejoceres@yahoo.com.ar –www.concejodeceres.com</w:t>
    </w:r>
  </w:p>
  <w:p w14:paraId="480747CB" w14:textId="77777777" w:rsidR="00635C78" w:rsidRDefault="00635C7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743AC" w14:textId="77777777" w:rsidR="00983D13" w:rsidRDefault="00983D13" w:rsidP="008327C8">
      <w:pPr>
        <w:spacing w:after="0" w:line="240" w:lineRule="auto"/>
      </w:pPr>
      <w:r>
        <w:separator/>
      </w:r>
    </w:p>
  </w:footnote>
  <w:footnote w:type="continuationSeparator" w:id="0">
    <w:p w14:paraId="557E9014" w14:textId="77777777" w:rsidR="00983D13" w:rsidRDefault="00983D13"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AC3BA" w14:textId="77777777" w:rsidR="00635C78" w:rsidRDefault="00635C78">
    <w:pPr>
      <w:pStyle w:val="Encabezado"/>
    </w:pPr>
    <w:r w:rsidRPr="008327C8">
      <w:rPr>
        <w:noProof/>
        <w:lang w:val="es-AR" w:eastAsia="es-AR"/>
      </w:rPr>
      <w:drawing>
        <wp:anchor distT="0" distB="0" distL="114300" distR="114300" simplePos="0" relativeHeight="251656192" behindDoc="0" locked="0" layoutInCell="1" allowOverlap="1" wp14:anchorId="074AF845" wp14:editId="622312BB">
          <wp:simplePos x="0" y="0"/>
          <wp:positionH relativeFrom="margin">
            <wp:align>center</wp:align>
          </wp:positionH>
          <wp:positionV relativeFrom="page">
            <wp:posOffset>135890</wp:posOffset>
          </wp:positionV>
          <wp:extent cx="2724150" cy="10890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val="es-AR" w:eastAsia="es-AR"/>
      </w:rPr>
      <mc:AlternateContent>
        <mc:Choice Requires="wps">
          <w:drawing>
            <wp:anchor distT="0" distB="0" distL="114300" distR="114300" simplePos="0" relativeHeight="251658240" behindDoc="0" locked="0" layoutInCell="1" allowOverlap="1" wp14:anchorId="76927B74" wp14:editId="6C970414">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EBA61"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79039726" w14:textId="77777777" w:rsidR="00635C78" w:rsidRDefault="00635C7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35C6B"/>
    <w:multiLevelType w:val="hybridMultilevel"/>
    <w:tmpl w:val="24B0CE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C763F"/>
    <w:multiLevelType w:val="hybridMultilevel"/>
    <w:tmpl w:val="B36CAAA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325FC"/>
    <w:rsid w:val="00075B6E"/>
    <w:rsid w:val="000A1371"/>
    <w:rsid w:val="000A5CE6"/>
    <w:rsid w:val="00107838"/>
    <w:rsid w:val="00181C13"/>
    <w:rsid w:val="001C7EDD"/>
    <w:rsid w:val="001D64E9"/>
    <w:rsid w:val="002306A5"/>
    <w:rsid w:val="00252C12"/>
    <w:rsid w:val="002850A8"/>
    <w:rsid w:val="00302C70"/>
    <w:rsid w:val="003374A1"/>
    <w:rsid w:val="003A5FFA"/>
    <w:rsid w:val="003D4A18"/>
    <w:rsid w:val="003F2B1C"/>
    <w:rsid w:val="00400743"/>
    <w:rsid w:val="00470583"/>
    <w:rsid w:val="00471FFD"/>
    <w:rsid w:val="004B2980"/>
    <w:rsid w:val="004F55B3"/>
    <w:rsid w:val="004F7BA4"/>
    <w:rsid w:val="00514FA1"/>
    <w:rsid w:val="00573B39"/>
    <w:rsid w:val="005C2A4D"/>
    <w:rsid w:val="005D40ED"/>
    <w:rsid w:val="005E524F"/>
    <w:rsid w:val="0060618C"/>
    <w:rsid w:val="006204BD"/>
    <w:rsid w:val="00624803"/>
    <w:rsid w:val="0062560E"/>
    <w:rsid w:val="00635C78"/>
    <w:rsid w:val="0066183A"/>
    <w:rsid w:val="006F65D3"/>
    <w:rsid w:val="0070114E"/>
    <w:rsid w:val="007455B5"/>
    <w:rsid w:val="00754C7D"/>
    <w:rsid w:val="007F0E25"/>
    <w:rsid w:val="0080251B"/>
    <w:rsid w:val="008327C8"/>
    <w:rsid w:val="00871B5F"/>
    <w:rsid w:val="00883A02"/>
    <w:rsid w:val="00900458"/>
    <w:rsid w:val="0092058C"/>
    <w:rsid w:val="009223A6"/>
    <w:rsid w:val="009266E1"/>
    <w:rsid w:val="00983D13"/>
    <w:rsid w:val="0099311D"/>
    <w:rsid w:val="00995DDA"/>
    <w:rsid w:val="009C1368"/>
    <w:rsid w:val="009D59D9"/>
    <w:rsid w:val="00A16CAE"/>
    <w:rsid w:val="00A20451"/>
    <w:rsid w:val="00A20AF8"/>
    <w:rsid w:val="00A60341"/>
    <w:rsid w:val="00A724FC"/>
    <w:rsid w:val="00A74860"/>
    <w:rsid w:val="00AD3339"/>
    <w:rsid w:val="00AD7295"/>
    <w:rsid w:val="00AF1402"/>
    <w:rsid w:val="00AF6C04"/>
    <w:rsid w:val="00B0113B"/>
    <w:rsid w:val="00B02181"/>
    <w:rsid w:val="00B12371"/>
    <w:rsid w:val="00B2197C"/>
    <w:rsid w:val="00B87944"/>
    <w:rsid w:val="00BB5AFB"/>
    <w:rsid w:val="00BF4DD3"/>
    <w:rsid w:val="00C33168"/>
    <w:rsid w:val="00C86AB7"/>
    <w:rsid w:val="00CE4385"/>
    <w:rsid w:val="00D12F87"/>
    <w:rsid w:val="00D2012F"/>
    <w:rsid w:val="00D723C4"/>
    <w:rsid w:val="00D83FF0"/>
    <w:rsid w:val="00D90C57"/>
    <w:rsid w:val="00DD4075"/>
    <w:rsid w:val="00E03419"/>
    <w:rsid w:val="00E24A74"/>
    <w:rsid w:val="00E5197A"/>
    <w:rsid w:val="00E6102F"/>
    <w:rsid w:val="00E87C0F"/>
    <w:rsid w:val="00EA3040"/>
    <w:rsid w:val="00ED7198"/>
    <w:rsid w:val="00EF391A"/>
    <w:rsid w:val="00F10803"/>
    <w:rsid w:val="00F157C3"/>
    <w:rsid w:val="00F326EA"/>
    <w:rsid w:val="00F34496"/>
    <w:rsid w:val="00F4228C"/>
    <w:rsid w:val="00F72A4D"/>
    <w:rsid w:val="00FA280D"/>
    <w:rsid w:val="00FC1446"/>
    <w:rsid w:val="00FD3072"/>
    <w:rsid w:val="00FD57CF"/>
    <w:rsid w:val="00FE205D"/>
    <w:rsid w:val="00FE23BC"/>
    <w:rsid w:val="00FE70D3"/>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50E166"/>
  <w15:docId w15:val="{D27E086F-D8C1-4FD3-AD19-1724EE2D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semiHidden/>
    <w:unhideWhenUsed/>
    <w:rsid w:val="00871B5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6ADF3-6F58-4FDC-8CE6-A4D48BDCF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1492</Words>
  <Characters>8207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2022-02-09T15:15:00Z</cp:lastPrinted>
  <dcterms:created xsi:type="dcterms:W3CDTF">2022-02-21T11:38:00Z</dcterms:created>
  <dcterms:modified xsi:type="dcterms:W3CDTF">2022-02-21T12:12:00Z</dcterms:modified>
</cp:coreProperties>
</file>