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772A020C"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FC510B">
        <w:rPr>
          <w:rFonts w:asciiTheme="majorHAnsi" w:eastAsiaTheme="minorEastAsia" w:hAnsiTheme="majorHAnsi" w:cstheme="minorHAnsi"/>
          <w:sz w:val="22"/>
          <w:szCs w:val="22"/>
          <w:u w:val="single"/>
        </w:rPr>
        <w:t>5</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 </w:t>
      </w:r>
      <w:r w:rsidR="0008014F">
        <w:rPr>
          <w:rFonts w:asciiTheme="majorHAnsi" w:eastAsiaTheme="minorEastAsia" w:hAnsiTheme="majorHAnsi" w:cstheme="minorHAnsi"/>
          <w:sz w:val="22"/>
          <w:szCs w:val="22"/>
          <w:u w:val="single"/>
        </w:rPr>
        <w:t>6</w:t>
      </w:r>
      <w:r w:rsidR="00FC510B">
        <w:rPr>
          <w:rFonts w:asciiTheme="majorHAnsi" w:eastAsiaTheme="minorEastAsia" w:hAnsiTheme="majorHAnsi" w:cstheme="minorHAnsi"/>
          <w:sz w:val="22"/>
          <w:szCs w:val="22"/>
          <w:u w:val="single"/>
        </w:rPr>
        <w:t>3</w:t>
      </w:r>
      <w:r w:rsidR="00E74157">
        <w:rPr>
          <w:rFonts w:asciiTheme="majorHAnsi" w:eastAsiaTheme="minorEastAsia" w:hAnsiTheme="majorHAnsi" w:cstheme="minorHAnsi"/>
          <w:sz w:val="22"/>
          <w:szCs w:val="22"/>
          <w:u w:val="single"/>
        </w:rPr>
        <w:t>.</w:t>
      </w:r>
    </w:p>
    <w:p w14:paraId="4C4DB8CC" w14:textId="179F705A"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085F4B">
        <w:rPr>
          <w:rFonts w:asciiTheme="majorHAnsi" w:eastAsiaTheme="minorEastAsia" w:hAnsiTheme="majorHAnsi" w:cstheme="minorHAnsi"/>
          <w:sz w:val="22"/>
          <w:szCs w:val="22"/>
        </w:rPr>
        <w:t>1</w:t>
      </w:r>
      <w:r w:rsidR="00FC510B">
        <w:rPr>
          <w:rFonts w:asciiTheme="majorHAnsi" w:eastAsiaTheme="minorEastAsia" w:hAnsiTheme="majorHAnsi" w:cstheme="minorHAnsi"/>
          <w:sz w:val="22"/>
          <w:szCs w:val="22"/>
        </w:rPr>
        <w:t>7</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enero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08014F">
        <w:rPr>
          <w:rFonts w:asciiTheme="majorHAnsi" w:eastAsiaTheme="minorEastAsia" w:hAnsiTheme="majorHAnsi" w:cstheme="minorHAnsi"/>
          <w:sz w:val="22"/>
          <w:szCs w:val="22"/>
        </w:rPr>
        <w:t>ausente</w:t>
      </w:r>
      <w:r w:rsidR="00FC510B">
        <w:rPr>
          <w:rFonts w:asciiTheme="majorHAnsi" w:eastAsiaTheme="minorEastAsia" w:hAnsiTheme="majorHAnsi" w:cstheme="minorHAnsi"/>
          <w:sz w:val="22"/>
          <w:szCs w:val="22"/>
        </w:rPr>
        <w:t>s</w:t>
      </w:r>
      <w:r w:rsidR="0008014F">
        <w:rPr>
          <w:rFonts w:asciiTheme="majorHAnsi" w:eastAsiaTheme="minorEastAsia" w:hAnsiTheme="majorHAnsi" w:cstheme="minorHAnsi"/>
          <w:sz w:val="22"/>
          <w:szCs w:val="22"/>
        </w:rPr>
        <w:t xml:space="preserve"> con aviso l</w:t>
      </w:r>
      <w:r w:rsidR="00FC510B">
        <w:rPr>
          <w:rFonts w:asciiTheme="majorHAnsi" w:eastAsiaTheme="minorEastAsia" w:hAnsiTheme="majorHAnsi" w:cstheme="minorHAnsi"/>
          <w:sz w:val="22"/>
          <w:szCs w:val="22"/>
        </w:rPr>
        <w:t>os</w:t>
      </w:r>
      <w:r w:rsidR="0008014F">
        <w:rPr>
          <w:rFonts w:asciiTheme="majorHAnsi" w:eastAsiaTheme="minorEastAsia" w:hAnsiTheme="majorHAnsi" w:cstheme="minorHAnsi"/>
          <w:sz w:val="22"/>
          <w:szCs w:val="22"/>
        </w:rPr>
        <w:t xml:space="preserve"> Concejal</w:t>
      </w:r>
      <w:r w:rsidR="00FC510B">
        <w:rPr>
          <w:rFonts w:asciiTheme="majorHAnsi" w:eastAsiaTheme="minorEastAsia" w:hAnsiTheme="majorHAnsi" w:cstheme="minorHAnsi"/>
          <w:sz w:val="22"/>
          <w:szCs w:val="22"/>
        </w:rPr>
        <w:t>es</w:t>
      </w:r>
      <w:r w:rsidR="0008014F">
        <w:rPr>
          <w:rFonts w:asciiTheme="majorHAnsi" w:eastAsiaTheme="minorEastAsia" w:hAnsiTheme="majorHAnsi" w:cstheme="minorHAnsi"/>
          <w:sz w:val="22"/>
          <w:szCs w:val="22"/>
        </w:rPr>
        <w:t xml:space="preserve"> Guirado</w:t>
      </w:r>
      <w:r w:rsidR="00FC510B">
        <w:rPr>
          <w:rFonts w:asciiTheme="majorHAnsi" w:eastAsiaTheme="minorEastAsia" w:hAnsiTheme="majorHAnsi" w:cstheme="minorHAnsi"/>
          <w:sz w:val="22"/>
          <w:szCs w:val="22"/>
        </w:rPr>
        <w:t xml:space="preserve"> y Busquets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121B3D">
        <w:rPr>
          <w:rFonts w:asciiTheme="majorHAnsi" w:eastAsiaTheme="minorEastAsia" w:hAnsiTheme="majorHAnsi" w:cstheme="minorHAnsi"/>
          <w:sz w:val="22"/>
          <w:szCs w:val="22"/>
        </w:rPr>
        <w:t>0</w:t>
      </w:r>
      <w:r w:rsidR="00FC510B">
        <w:rPr>
          <w:rFonts w:asciiTheme="majorHAnsi" w:eastAsiaTheme="minorEastAsia" w:hAnsiTheme="majorHAnsi" w:cstheme="minorHAnsi"/>
          <w:sz w:val="22"/>
          <w:szCs w:val="22"/>
        </w:rPr>
        <w:t>0</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121B3D">
        <w:rPr>
          <w:rFonts w:asciiTheme="majorHAnsi" w:eastAsiaTheme="minorEastAsia" w:hAnsiTheme="majorHAnsi" w:cstheme="minorHAnsi"/>
          <w:sz w:val="22"/>
          <w:szCs w:val="22"/>
        </w:rPr>
        <w:t>Extrao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FB0F308" w14:textId="2D680469" w:rsidR="00085F4B" w:rsidRPr="00085F4B" w:rsidRDefault="00143D0C" w:rsidP="00085F4B">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121B3D">
        <w:rPr>
          <w:rFonts w:asciiTheme="majorHAnsi" w:eastAsiaTheme="minorEastAsia" w:hAnsiTheme="majorHAnsi" w:cstheme="minorHAnsi"/>
          <w:sz w:val="22"/>
          <w:szCs w:val="22"/>
          <w:u w:val="single"/>
          <w:lang w:val="es-ES"/>
        </w:rPr>
        <w:t>EXTRA</w:t>
      </w:r>
      <w:r w:rsidR="00477D98">
        <w:rPr>
          <w:rFonts w:asciiTheme="majorHAnsi" w:eastAsiaTheme="minorEastAsia" w:hAnsiTheme="majorHAnsi" w:cstheme="minorHAnsi"/>
          <w:sz w:val="22"/>
          <w:szCs w:val="22"/>
          <w:u w:val="single"/>
          <w:lang w:val="es-ES"/>
        </w:rPr>
        <w:t>ORDINARIA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w:t>
      </w:r>
      <w:r w:rsidR="00FC510B">
        <w:rPr>
          <w:rFonts w:asciiTheme="majorHAnsi" w:eastAsiaTheme="minorEastAsia" w:hAnsiTheme="majorHAnsi" w:cstheme="minorHAnsi"/>
          <w:sz w:val="22"/>
          <w:szCs w:val="22"/>
          <w:u w:val="single"/>
          <w:lang w:val="es-ES"/>
        </w:rPr>
        <w:t>3</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bookmarkEnd w:id="0"/>
      <w:bookmarkEnd w:id="1"/>
    </w:p>
    <w:p w14:paraId="3C5621E5" w14:textId="77777777" w:rsidR="00FC510B" w:rsidRPr="00FC510B" w:rsidRDefault="00FC510B" w:rsidP="00FC510B">
      <w:pPr>
        <w:numPr>
          <w:ilvl w:val="0"/>
          <w:numId w:val="1"/>
        </w:numPr>
        <w:spacing w:before="120"/>
        <w:jc w:val="both"/>
        <w:rPr>
          <w:rFonts w:asciiTheme="majorHAnsi" w:eastAsiaTheme="minorEastAsia" w:hAnsiTheme="majorHAnsi" w:cstheme="minorHAnsi"/>
          <w:sz w:val="22"/>
          <w:szCs w:val="22"/>
        </w:rPr>
      </w:pPr>
      <w:bookmarkStart w:id="2" w:name="_Hlk182390299"/>
      <w:bookmarkStart w:id="3" w:name="_Hlk187911281"/>
      <w:r w:rsidRPr="00FC510B">
        <w:rPr>
          <w:rFonts w:asciiTheme="majorHAnsi" w:eastAsiaTheme="minorEastAsia" w:hAnsiTheme="majorHAnsi" w:cstheme="minorHAnsi"/>
          <w:sz w:val="22"/>
          <w:szCs w:val="22"/>
        </w:rPr>
        <w:t>Aprobación y firma de Acta anterior.</w:t>
      </w:r>
    </w:p>
    <w:p w14:paraId="4F5F2675" w14:textId="77777777" w:rsidR="00FC510B" w:rsidRPr="00FC510B" w:rsidRDefault="00FC510B" w:rsidP="00FC510B">
      <w:pPr>
        <w:numPr>
          <w:ilvl w:val="0"/>
          <w:numId w:val="1"/>
        </w:numPr>
        <w:spacing w:before="120"/>
        <w:jc w:val="both"/>
        <w:rPr>
          <w:rFonts w:asciiTheme="majorHAnsi" w:eastAsiaTheme="minorEastAsia" w:hAnsiTheme="majorHAnsi" w:cstheme="minorHAnsi"/>
          <w:sz w:val="22"/>
          <w:szCs w:val="22"/>
        </w:rPr>
      </w:pPr>
      <w:r w:rsidRPr="00FC510B">
        <w:rPr>
          <w:rFonts w:asciiTheme="majorHAnsi" w:eastAsiaTheme="minorEastAsia" w:hAnsiTheme="majorHAnsi" w:cstheme="minorHAnsi"/>
          <w:sz w:val="22"/>
          <w:szCs w:val="22"/>
        </w:rPr>
        <w:t>Correspondencia Recibida:</w:t>
      </w:r>
    </w:p>
    <w:p w14:paraId="10532F4C" w14:textId="77777777" w:rsidR="00FC510B" w:rsidRPr="00FC510B" w:rsidRDefault="00FC510B" w:rsidP="00FC510B">
      <w:pPr>
        <w:numPr>
          <w:ilvl w:val="0"/>
          <w:numId w:val="2"/>
        </w:numPr>
        <w:spacing w:before="120"/>
        <w:jc w:val="both"/>
        <w:rPr>
          <w:rFonts w:asciiTheme="majorHAnsi" w:eastAsiaTheme="minorEastAsia" w:hAnsiTheme="majorHAnsi" w:cstheme="minorHAnsi"/>
          <w:sz w:val="22"/>
          <w:szCs w:val="22"/>
        </w:rPr>
      </w:pPr>
      <w:r w:rsidRPr="00FC510B">
        <w:rPr>
          <w:rFonts w:asciiTheme="majorHAnsi" w:eastAsiaTheme="minorEastAsia" w:hAnsiTheme="majorHAnsi" w:cstheme="minorHAnsi"/>
          <w:sz w:val="22"/>
          <w:szCs w:val="22"/>
        </w:rPr>
        <w:t>DEM – Corrección cuadros N°9 y N°12 del Proyecto de Presupuesto.</w:t>
      </w:r>
    </w:p>
    <w:p w14:paraId="624A3373" w14:textId="77777777" w:rsidR="00FC510B" w:rsidRPr="00FC510B" w:rsidRDefault="00FC510B" w:rsidP="00FC510B">
      <w:pPr>
        <w:numPr>
          <w:ilvl w:val="0"/>
          <w:numId w:val="1"/>
        </w:numPr>
        <w:spacing w:before="120"/>
        <w:jc w:val="both"/>
        <w:rPr>
          <w:rFonts w:asciiTheme="majorHAnsi" w:eastAsiaTheme="minorEastAsia" w:hAnsiTheme="majorHAnsi" w:cstheme="minorHAnsi"/>
          <w:sz w:val="22"/>
          <w:szCs w:val="22"/>
        </w:rPr>
      </w:pPr>
      <w:r w:rsidRPr="00FC510B">
        <w:rPr>
          <w:rFonts w:asciiTheme="majorHAnsi" w:eastAsiaTheme="minorEastAsia" w:hAnsiTheme="majorHAnsi" w:cstheme="minorHAnsi"/>
          <w:sz w:val="22"/>
          <w:szCs w:val="22"/>
        </w:rPr>
        <w:t>DEM: Proyecto de Ordenanza – Ampliación Presupuesto 2024.</w:t>
      </w:r>
    </w:p>
    <w:p w14:paraId="53A4AF7F" w14:textId="77777777" w:rsidR="00FC510B" w:rsidRDefault="00FC510B" w:rsidP="00FC510B">
      <w:pPr>
        <w:numPr>
          <w:ilvl w:val="0"/>
          <w:numId w:val="1"/>
        </w:numPr>
        <w:spacing w:before="120"/>
        <w:jc w:val="both"/>
        <w:rPr>
          <w:rFonts w:asciiTheme="majorHAnsi" w:eastAsiaTheme="minorEastAsia" w:hAnsiTheme="majorHAnsi" w:cstheme="minorHAnsi"/>
          <w:sz w:val="22"/>
          <w:szCs w:val="22"/>
        </w:rPr>
      </w:pPr>
      <w:r w:rsidRPr="00FC510B">
        <w:rPr>
          <w:rFonts w:asciiTheme="majorHAnsi" w:eastAsiaTheme="minorEastAsia" w:hAnsiTheme="majorHAnsi" w:cstheme="minorHAnsi"/>
          <w:sz w:val="22"/>
          <w:szCs w:val="22"/>
        </w:rPr>
        <w:t>Bloque UCR: Proyecto de Resolución – Aplicación Ordenanza N°1768/2022.</w:t>
      </w:r>
    </w:p>
    <w:p w14:paraId="4303406B" w14:textId="360A3A41" w:rsidR="00C54C64" w:rsidRPr="00FC510B" w:rsidRDefault="00C54C64" w:rsidP="00C54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antes de comenzar vamos a hacer que conste en Acta que se encuentran ausentes los Concejales Guirado y Busquets, con aviso.</w:t>
      </w:r>
    </w:p>
    <w:bookmarkEnd w:id="2"/>
    <w:bookmarkEnd w:id="3"/>
    <w:p w14:paraId="271E2047" w14:textId="760699DA" w:rsidR="0008014F" w:rsidRDefault="0008014F" w:rsidP="0008014F">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w:t>
      </w:r>
      <w:r w:rsidR="00121B3D">
        <w:rPr>
          <w:rFonts w:asciiTheme="majorHAnsi" w:eastAsiaTheme="minorEastAsia" w:hAnsiTheme="majorHAnsi" w:cstheme="minorHAnsi"/>
          <w:sz w:val="22"/>
          <w:szCs w:val="22"/>
        </w:rPr>
        <w:t xml:space="preserve"> de acta anterior</w:t>
      </w:r>
      <w:r w:rsidRPr="00951C5A">
        <w:rPr>
          <w:rFonts w:asciiTheme="majorHAnsi" w:eastAsiaTheme="minorEastAsia" w:hAnsiTheme="majorHAnsi" w:cstheme="minorHAnsi"/>
          <w:sz w:val="22"/>
          <w:szCs w:val="22"/>
        </w:rPr>
        <w:t>: Se somete a votación</w:t>
      </w:r>
      <w:r>
        <w:rPr>
          <w:rFonts w:asciiTheme="majorHAnsi" w:eastAsiaTheme="minorEastAsia" w:hAnsiTheme="majorHAnsi" w:cstheme="minorHAnsi"/>
          <w:sz w:val="22"/>
          <w:szCs w:val="22"/>
        </w:rPr>
        <w:t>, se aprueba por unanimidad de los presentes. Se procede a la firma de la</w:t>
      </w:r>
      <w:r w:rsidR="006C551D">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misma.</w:t>
      </w:r>
    </w:p>
    <w:p w14:paraId="2A1DA8F7" w14:textId="607B7FA3" w:rsidR="001E7D07" w:rsidRDefault="0008014F"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correspondencia recibida: </w:t>
      </w:r>
    </w:p>
    <w:p w14:paraId="0A5ABE10" w14:textId="53DE4966" w:rsidR="00C54C64" w:rsidRPr="00FC510B" w:rsidRDefault="00FC510B" w:rsidP="00C54C64">
      <w:pPr>
        <w:numPr>
          <w:ilvl w:val="0"/>
          <w:numId w:val="2"/>
        </w:numPr>
        <w:spacing w:before="120"/>
        <w:jc w:val="both"/>
        <w:rPr>
          <w:rFonts w:ascii="Calibri" w:eastAsiaTheme="minorEastAsia" w:hAnsi="Calibri" w:cstheme="minorBidi"/>
          <w:sz w:val="22"/>
          <w:szCs w:val="22"/>
        </w:rPr>
      </w:pPr>
      <w:r w:rsidRPr="00FC510B">
        <w:rPr>
          <w:rFonts w:ascii="Calibri" w:eastAsiaTheme="minorEastAsia" w:hAnsi="Calibri" w:cstheme="minorBidi"/>
          <w:sz w:val="22"/>
          <w:szCs w:val="22"/>
        </w:rPr>
        <w:t>DEM – Corrección cuadros N°9 y N°12 del Proyecto de Presupuesto.</w:t>
      </w:r>
    </w:p>
    <w:p w14:paraId="7B6F07B9" w14:textId="4F84DC12" w:rsidR="00FC510B" w:rsidRPr="00FC510B" w:rsidRDefault="001E7D07" w:rsidP="00FC510B">
      <w:pPr>
        <w:spacing w:before="120"/>
        <w:jc w:val="both"/>
        <w:rPr>
          <w:rFonts w:asciiTheme="majorHAnsi" w:eastAsiaTheme="minorEastAsia" w:hAnsiTheme="majorHAnsi" w:cstheme="minorHAnsi"/>
          <w:i/>
          <w:iCs/>
          <w:sz w:val="20"/>
          <w:szCs w:val="20"/>
          <w:lang w:val="es-AR"/>
        </w:rPr>
      </w:pPr>
      <w:r>
        <w:rPr>
          <w:rFonts w:ascii="Calibri" w:eastAsiaTheme="minorEastAsia" w:hAnsi="Calibri" w:cstheme="minorBidi"/>
          <w:sz w:val="22"/>
          <w:szCs w:val="22"/>
        </w:rPr>
        <w:t xml:space="preserve">PUNTO 3) </w:t>
      </w:r>
      <w:r w:rsidR="00FC510B" w:rsidRPr="00FC510B">
        <w:rPr>
          <w:rFonts w:asciiTheme="majorHAnsi" w:eastAsiaTheme="minorEastAsia" w:hAnsiTheme="majorHAnsi" w:cstheme="minorHAnsi"/>
          <w:sz w:val="22"/>
          <w:szCs w:val="22"/>
        </w:rPr>
        <w:t>DEM: Proyecto de Ordenanza – Ampliación Presupuesto 2024.</w:t>
      </w:r>
      <w:r w:rsidR="00FC510B">
        <w:rPr>
          <w:rFonts w:asciiTheme="majorHAnsi" w:eastAsiaTheme="minorEastAsia" w:hAnsiTheme="majorHAnsi" w:cstheme="minorHAnsi"/>
          <w:sz w:val="22"/>
          <w:szCs w:val="22"/>
        </w:rPr>
        <w:t xml:space="preserve"> El mismo dice lo siguiente: </w:t>
      </w:r>
      <w:r w:rsidR="00FC510B" w:rsidRPr="00FC510B">
        <w:rPr>
          <w:rFonts w:asciiTheme="majorHAnsi" w:eastAsiaTheme="minorEastAsia" w:hAnsiTheme="majorHAnsi" w:cstheme="minorHAnsi"/>
          <w:i/>
          <w:iCs/>
          <w:sz w:val="20"/>
          <w:szCs w:val="20"/>
        </w:rPr>
        <w:t>“</w:t>
      </w:r>
      <w:r w:rsidR="00FC510B" w:rsidRPr="00FC510B">
        <w:rPr>
          <w:rFonts w:asciiTheme="majorHAnsi" w:eastAsiaTheme="minorEastAsia" w:hAnsiTheme="majorHAnsi" w:cstheme="minorHAnsi"/>
          <w:i/>
          <w:iCs/>
          <w:sz w:val="20"/>
          <w:szCs w:val="20"/>
          <w:lang w:val="es-AR"/>
        </w:rPr>
        <w:t>VISTO y CONSIDERANDO:</w:t>
      </w:r>
      <w:r w:rsidR="00FC510B" w:rsidRPr="00FC510B">
        <w:rPr>
          <w:rFonts w:asciiTheme="majorHAnsi" w:eastAsiaTheme="minorEastAsia" w:hAnsiTheme="majorHAnsi" w:cstheme="minorHAnsi"/>
          <w:i/>
          <w:iCs/>
          <w:sz w:val="20"/>
          <w:szCs w:val="20"/>
          <w:lang w:val="es-AR"/>
        </w:rPr>
        <w:t xml:space="preserve"> </w:t>
      </w:r>
      <w:r w:rsidR="00FC510B" w:rsidRPr="00FC510B">
        <w:rPr>
          <w:rFonts w:asciiTheme="majorHAnsi" w:eastAsiaTheme="minorEastAsia" w:hAnsiTheme="majorHAnsi" w:cstheme="minorHAnsi"/>
          <w:i/>
          <w:iCs/>
          <w:sz w:val="20"/>
          <w:szCs w:val="20"/>
          <w:lang w:val="es"/>
        </w:rPr>
        <w:t>Que esta Municipalidad cuenta con Presupuesto General de Erogaciones y Cálculo de Recursos para el ejercicio 2024 aprobado por Ordenanza N°1841/2024.</w:t>
      </w:r>
      <w:r w:rsidR="00FC510B" w:rsidRPr="00FC510B">
        <w:rPr>
          <w:rFonts w:asciiTheme="majorHAnsi" w:eastAsiaTheme="minorEastAsia" w:hAnsiTheme="majorHAnsi" w:cstheme="minorHAnsi"/>
          <w:i/>
          <w:iCs/>
          <w:sz w:val="20"/>
          <w:szCs w:val="20"/>
          <w:lang w:val="es"/>
        </w:rPr>
        <w:t xml:space="preserve"> </w:t>
      </w:r>
      <w:r w:rsidR="00FC510B" w:rsidRPr="00FC510B">
        <w:rPr>
          <w:rFonts w:asciiTheme="majorHAnsi" w:eastAsiaTheme="minorEastAsia" w:hAnsiTheme="majorHAnsi" w:cstheme="minorHAnsi"/>
          <w:i/>
          <w:iCs/>
          <w:sz w:val="20"/>
          <w:szCs w:val="20"/>
          <w:lang w:val="es"/>
        </w:rPr>
        <w:t>Que dicho presupuesto fue superado en recaudación y ejecución presupuestaria y que el destino y la imputación de los recursos en demasía se imputarán para dar cumplimiento a los mandatos de la Ordenanza N°1841/2024.</w:t>
      </w:r>
      <w:r w:rsidR="00FC510B" w:rsidRPr="00FC510B">
        <w:rPr>
          <w:rFonts w:asciiTheme="majorHAnsi" w:eastAsiaTheme="minorEastAsia" w:hAnsiTheme="majorHAnsi" w:cstheme="minorHAnsi"/>
          <w:i/>
          <w:iCs/>
          <w:sz w:val="20"/>
          <w:szCs w:val="20"/>
          <w:lang w:val="es"/>
        </w:rPr>
        <w:t xml:space="preserve"> </w:t>
      </w:r>
      <w:r w:rsidR="00FC510B" w:rsidRPr="00FC510B">
        <w:rPr>
          <w:rFonts w:asciiTheme="majorHAnsi" w:eastAsiaTheme="minorEastAsia" w:hAnsiTheme="majorHAnsi" w:cstheme="minorHAnsi"/>
          <w:i/>
          <w:iCs/>
          <w:sz w:val="20"/>
          <w:szCs w:val="20"/>
          <w:lang w:val="es"/>
        </w:rPr>
        <w:t>Que nuevos programas y una mayor recaudación a la estimada en el nombrado “Presupuesto”, que como indica el nombre, el mismo cumple con ese fin, el de ser un presupuesto, y considerando que no generará un superávit, el Departamento Ejecutivo Municipal decide la imputación de seguir el rumbo planteado oportunamente.</w:t>
      </w:r>
      <w:r w:rsidR="00FC510B" w:rsidRPr="00FC510B">
        <w:rPr>
          <w:rFonts w:asciiTheme="majorHAnsi" w:eastAsiaTheme="minorEastAsia" w:hAnsiTheme="majorHAnsi" w:cstheme="minorHAnsi"/>
          <w:i/>
          <w:iCs/>
          <w:sz w:val="20"/>
          <w:szCs w:val="20"/>
          <w:lang w:val="es"/>
        </w:rPr>
        <w:t xml:space="preserve"> </w:t>
      </w:r>
      <w:r w:rsidR="00FC510B" w:rsidRPr="00FC510B">
        <w:rPr>
          <w:rFonts w:asciiTheme="majorHAnsi" w:eastAsiaTheme="minorEastAsia" w:hAnsiTheme="majorHAnsi" w:cstheme="minorHAnsi"/>
          <w:i/>
          <w:iCs/>
          <w:sz w:val="20"/>
          <w:szCs w:val="20"/>
          <w:lang w:val="es-AR"/>
        </w:rPr>
        <w:t>POR LO QUE:EL HONORABLE CONCEJO MUNICIPAL de CERES, EN USO DE LAS ATRIBUCIONES QUE LE CONFIERE LA LEY 2756 Y SUS MODIFICATORIAS, SANCIONA LA SIGUIENTE:O R D E N A N Z A</w:t>
      </w:r>
      <w:r w:rsidR="00FC510B" w:rsidRPr="00FC510B">
        <w:rPr>
          <w:rFonts w:asciiTheme="majorHAnsi" w:eastAsiaTheme="minorEastAsia" w:hAnsiTheme="majorHAnsi" w:cstheme="minorHAnsi"/>
          <w:bCs/>
          <w:i/>
          <w:iCs/>
          <w:sz w:val="20"/>
          <w:szCs w:val="20"/>
          <w:lang w:val="es"/>
        </w:rPr>
        <w:t xml:space="preserve">ARTÍCULO 1°) Modificase el </w:t>
      </w:r>
      <w:r w:rsidR="00E962F6" w:rsidRPr="00FC510B">
        <w:rPr>
          <w:rFonts w:asciiTheme="majorHAnsi" w:eastAsiaTheme="minorEastAsia" w:hAnsiTheme="majorHAnsi" w:cstheme="minorHAnsi"/>
          <w:bCs/>
          <w:i/>
          <w:iCs/>
          <w:sz w:val="20"/>
          <w:szCs w:val="20"/>
          <w:lang w:val="es"/>
        </w:rPr>
        <w:t>cálculo</w:t>
      </w:r>
      <w:r w:rsidR="00FC510B" w:rsidRPr="00FC510B">
        <w:rPr>
          <w:rFonts w:asciiTheme="majorHAnsi" w:eastAsiaTheme="minorEastAsia" w:hAnsiTheme="majorHAnsi" w:cstheme="minorHAnsi"/>
          <w:bCs/>
          <w:i/>
          <w:iCs/>
          <w:sz w:val="20"/>
          <w:szCs w:val="20"/>
          <w:lang w:val="es"/>
        </w:rPr>
        <w:t xml:space="preserve"> de Recursos vigente, fijado por </w:t>
      </w:r>
      <w:r w:rsidR="00FC510B" w:rsidRPr="00FC510B">
        <w:rPr>
          <w:rFonts w:asciiTheme="majorHAnsi" w:eastAsiaTheme="minorEastAsia" w:hAnsiTheme="majorHAnsi" w:cstheme="minorHAnsi"/>
          <w:bCs/>
          <w:i/>
          <w:iCs/>
          <w:sz w:val="20"/>
          <w:szCs w:val="20"/>
          <w:lang w:val="es"/>
        </w:rPr>
        <w:lastRenderedPageBreak/>
        <w:t>Ordenanza N°1841/2024, incrementando el rubro Recursos en $1.740.188.469,66 (pesos un mil setecientos cuarenta millones ciento ochenta y ocho mil cuatrocientos sesenta y nueve con sesenta y seis centavos) distribuidos como sigue:</w:t>
      </w:r>
    </w:p>
    <w:tbl>
      <w:tblPr>
        <w:tblStyle w:val="Tablaconcuadrcula"/>
        <w:tblW w:w="0" w:type="auto"/>
        <w:tblInd w:w="-5" w:type="dxa"/>
        <w:tblLook w:val="04A0" w:firstRow="1" w:lastRow="0" w:firstColumn="1" w:lastColumn="0" w:noHBand="0" w:noVBand="1"/>
      </w:tblPr>
      <w:tblGrid>
        <w:gridCol w:w="6232"/>
        <w:gridCol w:w="2829"/>
      </w:tblGrid>
      <w:tr w:rsidR="00FC510B" w:rsidRPr="00FC510B" w14:paraId="7C664CDA" w14:textId="77777777" w:rsidTr="0065372C">
        <w:tc>
          <w:tcPr>
            <w:tcW w:w="6232" w:type="dxa"/>
            <w:shd w:val="clear" w:color="auto" w:fill="A7D971"/>
          </w:tcPr>
          <w:p w14:paraId="6D882F5A" w14:textId="77777777" w:rsidR="00FC510B" w:rsidRPr="00FC510B" w:rsidRDefault="00FC510B" w:rsidP="00FC510B">
            <w:pPr>
              <w:spacing w:before="120"/>
              <w:jc w:val="both"/>
              <w:rPr>
                <w:rFonts w:asciiTheme="majorHAnsi" w:eastAsiaTheme="minorEastAsia" w:hAnsiTheme="majorHAnsi" w:cstheme="minorHAnsi"/>
                <w:b/>
                <w:i/>
                <w:iCs/>
                <w:sz w:val="20"/>
                <w:szCs w:val="20"/>
                <w:lang w:val="es"/>
              </w:rPr>
            </w:pPr>
            <w:r w:rsidRPr="00FC510B">
              <w:rPr>
                <w:rFonts w:asciiTheme="majorHAnsi" w:eastAsiaTheme="minorEastAsia" w:hAnsiTheme="majorHAnsi" w:cstheme="minorHAnsi"/>
                <w:b/>
                <w:i/>
                <w:iCs/>
                <w:sz w:val="20"/>
                <w:szCs w:val="20"/>
                <w:lang w:val="es"/>
              </w:rPr>
              <w:t>RECURSOS</w:t>
            </w:r>
          </w:p>
        </w:tc>
        <w:tc>
          <w:tcPr>
            <w:tcW w:w="2829" w:type="dxa"/>
            <w:shd w:val="clear" w:color="auto" w:fill="A7D971"/>
          </w:tcPr>
          <w:p w14:paraId="1C8D864F" w14:textId="77777777" w:rsidR="00FC510B" w:rsidRPr="00FC510B" w:rsidRDefault="00FC510B" w:rsidP="00FC510B">
            <w:pPr>
              <w:spacing w:before="120"/>
              <w:jc w:val="both"/>
              <w:rPr>
                <w:rFonts w:asciiTheme="majorHAnsi" w:eastAsiaTheme="minorEastAsia" w:hAnsiTheme="majorHAnsi" w:cstheme="minorHAnsi"/>
                <w:b/>
                <w:i/>
                <w:iCs/>
                <w:sz w:val="20"/>
                <w:szCs w:val="20"/>
                <w:lang w:val="es"/>
              </w:rPr>
            </w:pPr>
            <w:r w:rsidRPr="00FC510B">
              <w:rPr>
                <w:rFonts w:asciiTheme="majorHAnsi" w:eastAsiaTheme="minorEastAsia" w:hAnsiTheme="majorHAnsi" w:cstheme="minorHAnsi"/>
                <w:b/>
                <w:i/>
                <w:iCs/>
                <w:sz w:val="20"/>
                <w:szCs w:val="20"/>
                <w:lang w:val="es"/>
              </w:rPr>
              <w:t>1.740.188.469.66</w:t>
            </w:r>
          </w:p>
        </w:tc>
      </w:tr>
      <w:tr w:rsidR="00FC510B" w:rsidRPr="00FC510B" w14:paraId="1772B443" w14:textId="77777777" w:rsidTr="0065372C">
        <w:tc>
          <w:tcPr>
            <w:tcW w:w="6232" w:type="dxa"/>
            <w:shd w:val="clear" w:color="auto" w:fill="C6E6A2"/>
          </w:tcPr>
          <w:p w14:paraId="7B9F4452"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 xml:space="preserve"> Recursos Corrientes </w:t>
            </w:r>
          </w:p>
        </w:tc>
        <w:tc>
          <w:tcPr>
            <w:tcW w:w="2829" w:type="dxa"/>
            <w:shd w:val="clear" w:color="auto" w:fill="C6E6A2"/>
          </w:tcPr>
          <w:p w14:paraId="280D0B2E"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710.289.717,86</w:t>
            </w:r>
          </w:p>
        </w:tc>
      </w:tr>
      <w:tr w:rsidR="00FC510B" w:rsidRPr="00FC510B" w14:paraId="2DC13E36" w14:textId="77777777" w:rsidTr="0065372C">
        <w:tc>
          <w:tcPr>
            <w:tcW w:w="6232" w:type="dxa"/>
          </w:tcPr>
          <w:p w14:paraId="267A2BEF"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 xml:space="preserve">    Propia Jurisdicción</w:t>
            </w:r>
          </w:p>
        </w:tc>
        <w:tc>
          <w:tcPr>
            <w:tcW w:w="2829" w:type="dxa"/>
          </w:tcPr>
          <w:p w14:paraId="37F42F24"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296.425.298,03</w:t>
            </w:r>
          </w:p>
        </w:tc>
      </w:tr>
      <w:tr w:rsidR="00FC510B" w:rsidRPr="00FC510B" w14:paraId="683E07DC" w14:textId="77777777" w:rsidTr="0065372C">
        <w:tc>
          <w:tcPr>
            <w:tcW w:w="6232" w:type="dxa"/>
          </w:tcPr>
          <w:p w14:paraId="697C780E"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 xml:space="preserve">    De otra Jurisdicción</w:t>
            </w:r>
          </w:p>
        </w:tc>
        <w:tc>
          <w:tcPr>
            <w:tcW w:w="2829" w:type="dxa"/>
          </w:tcPr>
          <w:p w14:paraId="67169424"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413.864.419,83</w:t>
            </w:r>
          </w:p>
        </w:tc>
      </w:tr>
      <w:tr w:rsidR="00FC510B" w:rsidRPr="00FC510B" w14:paraId="17088F93" w14:textId="77777777" w:rsidTr="0065372C">
        <w:tc>
          <w:tcPr>
            <w:tcW w:w="6232" w:type="dxa"/>
            <w:shd w:val="clear" w:color="auto" w:fill="C6E6A2"/>
          </w:tcPr>
          <w:p w14:paraId="2EC07A82"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 xml:space="preserve"> Financiamiento</w:t>
            </w:r>
          </w:p>
        </w:tc>
        <w:tc>
          <w:tcPr>
            <w:tcW w:w="2829" w:type="dxa"/>
            <w:shd w:val="clear" w:color="auto" w:fill="C6E6A2"/>
          </w:tcPr>
          <w:p w14:paraId="2928A32C"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1.029.898.751,80</w:t>
            </w:r>
          </w:p>
        </w:tc>
      </w:tr>
    </w:tbl>
    <w:p w14:paraId="102720E1" w14:textId="0D68C828"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ARTÍCULO 2°) Modificase el Presupuesto General de Erogaciones vigente fijado por Ordenanza N°1841/2024, incrementando dentro de las jurisdicciones en un total de $1.740.188.469,66 (Pesos un mil setecientos cuarenta millones ciento ochenta y ocho mil cuatrocientos sesenta y nueve con sesenta y seis centavos)</w:t>
      </w:r>
    </w:p>
    <w:tbl>
      <w:tblPr>
        <w:tblStyle w:val="Tablaconcuadrcula"/>
        <w:tblW w:w="0" w:type="auto"/>
        <w:tblInd w:w="564" w:type="dxa"/>
        <w:tblLook w:val="04A0" w:firstRow="1" w:lastRow="0" w:firstColumn="1" w:lastColumn="0" w:noHBand="0" w:noVBand="1"/>
      </w:tblPr>
      <w:tblGrid>
        <w:gridCol w:w="4530"/>
        <w:gridCol w:w="2836"/>
      </w:tblGrid>
      <w:tr w:rsidR="00FC510B" w:rsidRPr="00FC510B" w14:paraId="5345E125" w14:textId="77777777" w:rsidTr="0065372C">
        <w:tc>
          <w:tcPr>
            <w:tcW w:w="4530" w:type="dxa"/>
          </w:tcPr>
          <w:p w14:paraId="482500E0"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INTENDENCIA</w:t>
            </w:r>
          </w:p>
        </w:tc>
        <w:tc>
          <w:tcPr>
            <w:tcW w:w="2836" w:type="dxa"/>
          </w:tcPr>
          <w:p w14:paraId="4E9F6080"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$23.318.394,56</w:t>
            </w:r>
          </w:p>
        </w:tc>
      </w:tr>
      <w:tr w:rsidR="00FC510B" w:rsidRPr="00FC510B" w14:paraId="6B25A9D5" w14:textId="77777777" w:rsidTr="0065372C">
        <w:tc>
          <w:tcPr>
            <w:tcW w:w="4530" w:type="dxa"/>
          </w:tcPr>
          <w:p w14:paraId="3ADB2FB1"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JEFATURA DE GABINETE</w:t>
            </w:r>
          </w:p>
        </w:tc>
        <w:tc>
          <w:tcPr>
            <w:tcW w:w="2836" w:type="dxa"/>
          </w:tcPr>
          <w:p w14:paraId="05C17EAF"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$76.491.234,78</w:t>
            </w:r>
          </w:p>
        </w:tc>
      </w:tr>
      <w:tr w:rsidR="00FC510B" w:rsidRPr="00FC510B" w14:paraId="7BDB39C8" w14:textId="77777777" w:rsidTr="0065372C">
        <w:tc>
          <w:tcPr>
            <w:tcW w:w="4530" w:type="dxa"/>
          </w:tcPr>
          <w:p w14:paraId="1EF13B4E"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SECRETARIA DE DESARROLLO HUMANO</w:t>
            </w:r>
          </w:p>
        </w:tc>
        <w:tc>
          <w:tcPr>
            <w:tcW w:w="2836" w:type="dxa"/>
          </w:tcPr>
          <w:p w14:paraId="277CDA9B"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$264.661.835,69</w:t>
            </w:r>
          </w:p>
        </w:tc>
      </w:tr>
      <w:tr w:rsidR="00FC510B" w:rsidRPr="00FC510B" w14:paraId="096878C3" w14:textId="77777777" w:rsidTr="0065372C">
        <w:tc>
          <w:tcPr>
            <w:tcW w:w="4530" w:type="dxa"/>
          </w:tcPr>
          <w:p w14:paraId="2444A6D1"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SECRETARÍA DE ECONOMÍA</w:t>
            </w:r>
          </w:p>
        </w:tc>
        <w:tc>
          <w:tcPr>
            <w:tcW w:w="2836" w:type="dxa"/>
          </w:tcPr>
          <w:p w14:paraId="78C06ED2"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$114.086.986,93</w:t>
            </w:r>
          </w:p>
        </w:tc>
      </w:tr>
      <w:tr w:rsidR="00FC510B" w:rsidRPr="00FC510B" w14:paraId="593ABFD7" w14:textId="77777777" w:rsidTr="0065372C">
        <w:tc>
          <w:tcPr>
            <w:tcW w:w="4530" w:type="dxa"/>
          </w:tcPr>
          <w:p w14:paraId="07ED77BB"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SECRETARÍA DE GOBIERNO</w:t>
            </w:r>
          </w:p>
        </w:tc>
        <w:tc>
          <w:tcPr>
            <w:tcW w:w="2836" w:type="dxa"/>
          </w:tcPr>
          <w:p w14:paraId="3C16FED3"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$376.164.319,09</w:t>
            </w:r>
          </w:p>
        </w:tc>
      </w:tr>
      <w:tr w:rsidR="00FC510B" w:rsidRPr="00FC510B" w14:paraId="1E5D07B7" w14:textId="77777777" w:rsidTr="0065372C">
        <w:tc>
          <w:tcPr>
            <w:tcW w:w="4530" w:type="dxa"/>
          </w:tcPr>
          <w:p w14:paraId="3DDE771E"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SECRETARÍA DE INFRAESTRUCTURA</w:t>
            </w:r>
          </w:p>
        </w:tc>
        <w:tc>
          <w:tcPr>
            <w:tcW w:w="2836" w:type="dxa"/>
          </w:tcPr>
          <w:p w14:paraId="1A8C95D7"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$809.517.222,94</w:t>
            </w:r>
          </w:p>
        </w:tc>
      </w:tr>
      <w:tr w:rsidR="00FC510B" w:rsidRPr="00FC510B" w14:paraId="24418555" w14:textId="77777777" w:rsidTr="0065372C">
        <w:tc>
          <w:tcPr>
            <w:tcW w:w="4530" w:type="dxa"/>
          </w:tcPr>
          <w:p w14:paraId="71FDAA34"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ADMINISTRACIÓN</w:t>
            </w:r>
          </w:p>
        </w:tc>
        <w:tc>
          <w:tcPr>
            <w:tcW w:w="2836" w:type="dxa"/>
          </w:tcPr>
          <w:p w14:paraId="2B778BF8"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$42.311.427,63</w:t>
            </w:r>
          </w:p>
        </w:tc>
      </w:tr>
      <w:tr w:rsidR="00FC510B" w:rsidRPr="00FC510B" w14:paraId="424688C2" w14:textId="77777777" w:rsidTr="0065372C">
        <w:tc>
          <w:tcPr>
            <w:tcW w:w="4530" w:type="dxa"/>
          </w:tcPr>
          <w:p w14:paraId="00A4D85D"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HONORABLE CONCEJO MUNICIPAL</w:t>
            </w:r>
          </w:p>
        </w:tc>
        <w:tc>
          <w:tcPr>
            <w:tcW w:w="2836" w:type="dxa"/>
          </w:tcPr>
          <w:p w14:paraId="4F0D0A07" w14:textId="77777777" w:rsidR="00FC510B" w:rsidRPr="00FC510B" w:rsidRDefault="00FC510B" w:rsidP="00FC510B">
            <w:pPr>
              <w:spacing w:before="120"/>
              <w:jc w:val="both"/>
              <w:rPr>
                <w:rFonts w:asciiTheme="majorHAnsi" w:eastAsiaTheme="minorEastAsia" w:hAnsiTheme="majorHAnsi" w:cstheme="minorHAnsi"/>
                <w:bCs/>
                <w:i/>
                <w:iCs/>
                <w:sz w:val="20"/>
                <w:szCs w:val="20"/>
                <w:lang w:val="es"/>
              </w:rPr>
            </w:pPr>
            <w:r w:rsidRPr="00FC510B">
              <w:rPr>
                <w:rFonts w:asciiTheme="majorHAnsi" w:eastAsiaTheme="minorEastAsia" w:hAnsiTheme="majorHAnsi" w:cstheme="minorHAnsi"/>
                <w:bCs/>
                <w:i/>
                <w:iCs/>
                <w:sz w:val="20"/>
                <w:szCs w:val="20"/>
                <w:lang w:val="es"/>
              </w:rPr>
              <w:t>$28.637.048,03</w:t>
            </w:r>
          </w:p>
        </w:tc>
      </w:tr>
      <w:tr w:rsidR="00FC510B" w:rsidRPr="00FC510B" w14:paraId="35734FCD" w14:textId="77777777" w:rsidTr="0065372C">
        <w:tc>
          <w:tcPr>
            <w:tcW w:w="4530" w:type="dxa"/>
          </w:tcPr>
          <w:p w14:paraId="26F95418" w14:textId="77777777" w:rsidR="00FC510B" w:rsidRPr="00FC510B" w:rsidRDefault="00FC510B" w:rsidP="00FC510B">
            <w:pPr>
              <w:spacing w:before="120"/>
              <w:jc w:val="both"/>
              <w:rPr>
                <w:rFonts w:asciiTheme="majorHAnsi" w:eastAsiaTheme="minorEastAsia" w:hAnsiTheme="majorHAnsi" w:cstheme="minorHAnsi"/>
                <w:b/>
                <w:i/>
                <w:iCs/>
                <w:sz w:val="20"/>
                <w:szCs w:val="20"/>
                <w:lang w:val="es"/>
              </w:rPr>
            </w:pPr>
            <w:r w:rsidRPr="00FC510B">
              <w:rPr>
                <w:rFonts w:asciiTheme="majorHAnsi" w:eastAsiaTheme="minorEastAsia" w:hAnsiTheme="majorHAnsi" w:cstheme="minorHAnsi"/>
                <w:b/>
                <w:i/>
                <w:iCs/>
                <w:sz w:val="20"/>
                <w:szCs w:val="20"/>
                <w:lang w:val="es"/>
              </w:rPr>
              <w:t>Total</w:t>
            </w:r>
          </w:p>
        </w:tc>
        <w:tc>
          <w:tcPr>
            <w:tcW w:w="2836" w:type="dxa"/>
          </w:tcPr>
          <w:p w14:paraId="461BD97C" w14:textId="77777777" w:rsidR="00FC510B" w:rsidRPr="00FC510B" w:rsidRDefault="00FC510B" w:rsidP="00FC510B">
            <w:pPr>
              <w:spacing w:before="120"/>
              <w:jc w:val="both"/>
              <w:rPr>
                <w:rFonts w:asciiTheme="majorHAnsi" w:eastAsiaTheme="minorEastAsia" w:hAnsiTheme="majorHAnsi" w:cstheme="minorHAnsi"/>
                <w:b/>
                <w:i/>
                <w:iCs/>
                <w:sz w:val="20"/>
                <w:szCs w:val="20"/>
                <w:lang w:val="es"/>
              </w:rPr>
            </w:pPr>
            <w:r w:rsidRPr="00FC510B">
              <w:rPr>
                <w:rFonts w:asciiTheme="majorHAnsi" w:eastAsiaTheme="minorEastAsia" w:hAnsiTheme="majorHAnsi" w:cstheme="minorHAnsi"/>
                <w:b/>
                <w:i/>
                <w:iCs/>
                <w:sz w:val="20"/>
                <w:szCs w:val="20"/>
                <w:lang w:val="es"/>
              </w:rPr>
              <w:t>$1.740.188.469,66</w:t>
            </w:r>
          </w:p>
        </w:tc>
      </w:tr>
    </w:tbl>
    <w:p w14:paraId="1B2A2C60" w14:textId="1518AC1E" w:rsidR="00FC510B" w:rsidRPr="00FC510B" w:rsidRDefault="00FC510B" w:rsidP="00FC510B">
      <w:pPr>
        <w:spacing w:before="120"/>
        <w:jc w:val="both"/>
        <w:rPr>
          <w:rFonts w:asciiTheme="majorHAnsi" w:eastAsiaTheme="minorEastAsia" w:hAnsiTheme="majorHAnsi" w:cstheme="minorHAnsi"/>
          <w:bCs/>
          <w:sz w:val="22"/>
          <w:szCs w:val="22"/>
          <w:lang w:val="es-AR"/>
        </w:rPr>
      </w:pPr>
      <w:r w:rsidRPr="00FC510B">
        <w:rPr>
          <w:rFonts w:asciiTheme="majorHAnsi" w:eastAsiaTheme="minorEastAsia" w:hAnsiTheme="majorHAnsi" w:cstheme="minorHAnsi"/>
          <w:bCs/>
          <w:i/>
          <w:iCs/>
          <w:sz w:val="20"/>
          <w:szCs w:val="20"/>
          <w:lang w:val="es-AR"/>
        </w:rPr>
        <w:t xml:space="preserve">ARTÍCULO 3°) Dispóngase las acciones necesarias para la realización de las modificaciones presupuestarias establecidas en los artículos </w:t>
      </w:r>
      <w:r w:rsidR="00E962F6" w:rsidRPr="00FC510B">
        <w:rPr>
          <w:rFonts w:asciiTheme="majorHAnsi" w:eastAsiaTheme="minorEastAsia" w:hAnsiTheme="majorHAnsi" w:cstheme="minorHAnsi"/>
          <w:bCs/>
          <w:i/>
          <w:iCs/>
          <w:sz w:val="20"/>
          <w:szCs w:val="20"/>
          <w:lang w:val="es-AR"/>
        </w:rPr>
        <w:t>precedentes. ARTÍCULO</w:t>
      </w:r>
      <w:r w:rsidRPr="00FC510B">
        <w:rPr>
          <w:rFonts w:asciiTheme="majorHAnsi" w:eastAsiaTheme="minorEastAsia" w:hAnsiTheme="majorHAnsi" w:cstheme="minorHAnsi"/>
          <w:bCs/>
          <w:i/>
          <w:iCs/>
          <w:sz w:val="20"/>
          <w:szCs w:val="20"/>
          <w:lang w:val="es-AR"/>
        </w:rPr>
        <w:t xml:space="preserve"> 4°) Elévese al Departamento Ejecutivo Municipal de Ceres, a sus efectos. Comuníquese, publíquese y oportunamente archívese.</w:t>
      </w:r>
      <w:r>
        <w:rPr>
          <w:rFonts w:asciiTheme="majorHAnsi" w:eastAsiaTheme="minorEastAsia" w:hAnsiTheme="majorHAnsi" w:cstheme="minorHAnsi"/>
          <w:bCs/>
          <w:i/>
          <w:iCs/>
          <w:sz w:val="20"/>
          <w:szCs w:val="20"/>
          <w:lang w:val="es-AR"/>
        </w:rPr>
        <w:t>”</w:t>
      </w:r>
      <w:r w:rsidRPr="00FC510B">
        <w:rPr>
          <w:rFonts w:asciiTheme="majorHAnsi" w:eastAsiaTheme="minorEastAsia" w:hAnsiTheme="majorHAnsi" w:cstheme="minorHAnsi"/>
          <w:bCs/>
          <w:i/>
          <w:iCs/>
          <w:sz w:val="20"/>
          <w:szCs w:val="20"/>
          <w:lang w:val="es-AR"/>
        </w:rPr>
        <w:t xml:space="preserve">  </w:t>
      </w:r>
      <w:r w:rsidRPr="00FC510B">
        <w:rPr>
          <w:rFonts w:asciiTheme="majorHAnsi" w:eastAsiaTheme="minorEastAsia" w:hAnsiTheme="majorHAnsi" w:cstheme="minorHAnsi"/>
          <w:bCs/>
          <w:sz w:val="22"/>
          <w:szCs w:val="22"/>
          <w:lang w:val="es-AR"/>
        </w:rPr>
        <w:t xml:space="preserve">   </w:t>
      </w:r>
      <w:r w:rsidRPr="00FC510B">
        <w:rPr>
          <w:rFonts w:asciiTheme="majorHAnsi" w:eastAsiaTheme="minorEastAsia" w:hAnsiTheme="majorHAnsi" w:cstheme="minorHAnsi"/>
          <w:bCs/>
          <w:sz w:val="22"/>
          <w:szCs w:val="22"/>
          <w:lang w:val="es-AR"/>
        </w:rPr>
        <w:tab/>
      </w:r>
    </w:p>
    <w:p w14:paraId="0DB1CFF0" w14:textId="3B0BC013" w:rsidR="00C54C64" w:rsidRDefault="00C54C64"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un proyecto de ordenanza enviado por el Departamento Ejecutivo Municipal, solicitando como corresponde la ampliación presupuestaria del ejercicio 2024, en el detalle podemos observar, y si hacemos una comparación con el presupuesto que se aprobó en febrero del 2024, en cuestiones de recursos, ya sean recursos corrientes de propia o de otra </w:t>
      </w:r>
      <w:r w:rsidR="00E962F6">
        <w:rPr>
          <w:rFonts w:asciiTheme="majorHAnsi" w:eastAsiaTheme="minorEastAsia" w:hAnsiTheme="majorHAnsi" w:cstheme="minorHAnsi"/>
          <w:sz w:val="22"/>
          <w:szCs w:val="22"/>
        </w:rPr>
        <w:t>jurisdicción</w:t>
      </w:r>
      <w:r>
        <w:rPr>
          <w:rFonts w:asciiTheme="majorHAnsi" w:eastAsiaTheme="minorEastAsia" w:hAnsiTheme="majorHAnsi" w:cstheme="minorHAnsi"/>
          <w:sz w:val="22"/>
          <w:szCs w:val="22"/>
        </w:rPr>
        <w:t xml:space="preserve">, tuvimos un incremento del 21% promedio, lo cual implica, como lo establece el </w:t>
      </w:r>
      <w:r w:rsidR="00E962F6">
        <w:rPr>
          <w:rFonts w:asciiTheme="majorHAnsi" w:eastAsiaTheme="minorEastAsia" w:hAnsiTheme="majorHAnsi" w:cstheme="minorHAnsi"/>
          <w:sz w:val="22"/>
          <w:szCs w:val="22"/>
        </w:rPr>
        <w:t>considerando</w:t>
      </w:r>
      <w:r>
        <w:rPr>
          <w:rFonts w:asciiTheme="majorHAnsi" w:eastAsiaTheme="minorEastAsia" w:hAnsiTheme="majorHAnsi" w:cstheme="minorHAnsi"/>
          <w:sz w:val="22"/>
          <w:szCs w:val="22"/>
        </w:rPr>
        <w:t xml:space="preserve">, de que hubo una </w:t>
      </w:r>
      <w:r>
        <w:rPr>
          <w:rFonts w:asciiTheme="majorHAnsi" w:eastAsiaTheme="minorEastAsia" w:hAnsiTheme="majorHAnsi" w:cstheme="minorHAnsi"/>
          <w:sz w:val="22"/>
          <w:szCs w:val="22"/>
        </w:rPr>
        <w:lastRenderedPageBreak/>
        <w:t xml:space="preserve">mayor recaudación que permitió mayores ingresos dentro del arca municipal. Y por el otro lado, en el cuadro de recursos también tenemos un incremento considerable de financiamiento, que tiene que ver con los aportes no reintegrables del 312% que corresponde a los fondos que ha enviado el Gobierno Provincial, lo cual estaba previsto inicialmente trescientos treinta millones, pero de acuerdo a un gran apoyo que ha recibido el Gobierno Local por parte de la Provincia después de haber estado cuatro años directamente excluidos y discriminados políticamente, pasamos a tener un monto de mas de mil millones de pesos en inversión en obras de la provincia en la ciudad, que hoy se pueden ver, que algunas ya se inauguraron y otras están próximo a </w:t>
      </w:r>
      <w:r w:rsidR="00E962F6">
        <w:rPr>
          <w:rFonts w:asciiTheme="majorHAnsi" w:eastAsiaTheme="minorEastAsia" w:hAnsiTheme="majorHAnsi" w:cstheme="minorHAnsi"/>
          <w:sz w:val="22"/>
          <w:szCs w:val="22"/>
        </w:rPr>
        <w:t>inaugurarse</w:t>
      </w:r>
      <w:r>
        <w:rPr>
          <w:rFonts w:asciiTheme="majorHAnsi" w:eastAsiaTheme="minorEastAsia" w:hAnsiTheme="majorHAnsi" w:cstheme="minorHAnsi"/>
          <w:sz w:val="22"/>
          <w:szCs w:val="22"/>
        </w:rPr>
        <w:t xml:space="preserve">. Por otro lado, en el cuadro, en relación al artículo numero 2, que tiene que ver con el detalle de cada una de las secretarías y de la intendencia, también se ve un incremento considerable del 32% en promedio, que tiene que ver también con esta </w:t>
      </w:r>
      <w:r w:rsidR="0012278F">
        <w:rPr>
          <w:rFonts w:asciiTheme="majorHAnsi" w:eastAsiaTheme="minorEastAsia" w:hAnsiTheme="majorHAnsi" w:cstheme="minorHAnsi"/>
          <w:sz w:val="22"/>
          <w:szCs w:val="22"/>
        </w:rPr>
        <w:t>ampliación</w:t>
      </w:r>
      <w:r>
        <w:rPr>
          <w:rFonts w:asciiTheme="majorHAnsi" w:eastAsiaTheme="minorEastAsia" w:hAnsiTheme="majorHAnsi" w:cstheme="minorHAnsi"/>
          <w:sz w:val="22"/>
          <w:szCs w:val="22"/>
        </w:rPr>
        <w:t xml:space="preserve"> que se está considerando.</w:t>
      </w:r>
    </w:p>
    <w:p w14:paraId="0CE2F960" w14:textId="29BD226A" w:rsid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r w:rsidR="00C54C64">
        <w:rPr>
          <w:rFonts w:asciiTheme="majorHAnsi" w:eastAsiaTheme="minorEastAsia" w:hAnsiTheme="majorHAnsi" w:cstheme="minorHAnsi"/>
          <w:sz w:val="22"/>
          <w:szCs w:val="22"/>
        </w:rPr>
        <w:t xml:space="preserve"> </w:t>
      </w:r>
    </w:p>
    <w:p w14:paraId="79C0E599" w14:textId="7596024F" w:rsidR="00121B3D" w:rsidRP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9FBE52D" w14:textId="026B9C08" w:rsidR="00121B3D" w:rsidRPr="00FC510B" w:rsidRDefault="001E7D07" w:rsidP="00121B3D">
      <w:pPr>
        <w:spacing w:before="120"/>
        <w:jc w:val="both"/>
        <w:rPr>
          <w:rFonts w:asciiTheme="majorHAnsi" w:eastAsiaTheme="minorEastAsia" w:hAnsiTheme="majorHAnsi" w:cstheme="minorHAnsi"/>
          <w:bCs/>
          <w:i/>
          <w:iCs/>
          <w:sz w:val="20"/>
          <w:szCs w:val="20"/>
          <w:lang w:val="es-AR"/>
        </w:rPr>
      </w:pPr>
      <w:r>
        <w:rPr>
          <w:rFonts w:asciiTheme="majorHAnsi" w:eastAsiaTheme="minorEastAsia" w:hAnsiTheme="majorHAnsi" w:cstheme="minorHAnsi"/>
          <w:sz w:val="22"/>
          <w:szCs w:val="22"/>
        </w:rPr>
        <w:t xml:space="preserve">PUNTO 4) </w:t>
      </w:r>
      <w:r w:rsidR="00FC510B" w:rsidRPr="00FC510B">
        <w:rPr>
          <w:rFonts w:asciiTheme="majorHAnsi" w:eastAsiaTheme="minorEastAsia" w:hAnsiTheme="majorHAnsi" w:cstheme="minorHAnsi"/>
          <w:bCs/>
          <w:sz w:val="22"/>
          <w:szCs w:val="22"/>
        </w:rPr>
        <w:t>Bloque UCR: Proyecto de Resolución – Aplicación Ordenanza N°1768/2022</w:t>
      </w:r>
      <w:r w:rsidR="00FC510B">
        <w:rPr>
          <w:rFonts w:asciiTheme="majorHAnsi" w:eastAsiaTheme="minorEastAsia" w:hAnsiTheme="majorHAnsi" w:cstheme="minorHAnsi"/>
          <w:bCs/>
          <w:sz w:val="22"/>
          <w:szCs w:val="22"/>
        </w:rPr>
        <w:t>. El mismo dice lo siguiente: “</w:t>
      </w:r>
      <w:r w:rsidR="00FC510B" w:rsidRPr="00FC510B">
        <w:rPr>
          <w:rFonts w:asciiTheme="majorHAnsi" w:eastAsiaTheme="minorEastAsia" w:hAnsiTheme="majorHAnsi" w:cstheme="minorHAnsi"/>
          <w:bCs/>
          <w:i/>
          <w:iCs/>
          <w:sz w:val="20"/>
          <w:szCs w:val="20"/>
          <w:lang w:val="es-AR"/>
        </w:rPr>
        <w:t>VISTO:</w:t>
      </w:r>
      <w:r w:rsidR="00FC510B" w:rsidRPr="00FC510B">
        <w:rPr>
          <w:rFonts w:asciiTheme="majorHAnsi" w:eastAsiaTheme="minorEastAsia" w:hAnsiTheme="majorHAnsi" w:cstheme="minorHAnsi"/>
          <w:bCs/>
          <w:i/>
          <w:iCs/>
          <w:sz w:val="20"/>
          <w:szCs w:val="20"/>
          <w:lang w:val="es-AR"/>
        </w:rPr>
        <w:t xml:space="preserve"> </w:t>
      </w:r>
      <w:r w:rsidR="00FC510B" w:rsidRPr="00FC510B">
        <w:rPr>
          <w:rFonts w:asciiTheme="majorHAnsi" w:eastAsiaTheme="minorEastAsia" w:hAnsiTheme="majorHAnsi" w:cstheme="minorHAnsi"/>
          <w:bCs/>
          <w:i/>
          <w:iCs/>
          <w:sz w:val="20"/>
          <w:szCs w:val="20"/>
          <w:lang w:val="es-419"/>
        </w:rPr>
        <w:t>Las notas presentadas por el señor Hugo Félix Torres con fecha 9/04/2024 y 22/08/2024, y</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CONSIDERANDO:</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Que mediante ordenanza N° 1768/2022 se estableció la realización de la obra de 22 cuadras de pavimento, en la cual se encontraba incluida la calle Hernandarias.</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 xml:space="preserve">Que la misma beneficia a varios vecinos, entre ellos al señor Hugo Félix Torres. </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Que, a través de notas, el ciudadano considera que se ha hecho una incorrecta liquidación sobre el pago de la obra.</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Que no es función de este concejo efectuar la ejecución de las ordenanzas.</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AR"/>
        </w:rPr>
        <w:t>POR LO QUE:</w:t>
      </w:r>
      <w:r w:rsidR="00FC510B" w:rsidRPr="00FC510B">
        <w:rPr>
          <w:rFonts w:asciiTheme="majorHAnsi" w:eastAsiaTheme="minorEastAsia" w:hAnsiTheme="majorHAnsi" w:cstheme="minorHAnsi"/>
          <w:bCs/>
          <w:i/>
          <w:iCs/>
          <w:sz w:val="20"/>
          <w:szCs w:val="20"/>
          <w:lang w:val="es-ES"/>
        </w:rPr>
        <w:t xml:space="preserve"> </w:t>
      </w:r>
      <w:r w:rsidR="00FC510B" w:rsidRPr="00FC510B">
        <w:rPr>
          <w:rFonts w:asciiTheme="majorHAnsi" w:eastAsiaTheme="minorEastAsia" w:hAnsiTheme="majorHAnsi" w:cstheme="minorHAnsi"/>
          <w:bCs/>
          <w:i/>
          <w:iCs/>
          <w:sz w:val="20"/>
          <w:szCs w:val="20"/>
          <w:lang w:val="es-AR"/>
        </w:rPr>
        <w:t>EL HONORABLE CONCEJO MUNICIPAL DE LA CIUDAD DE CERES, en base a las atribuciones que le confiere la Ley N°2756 y sus modificatorias, dicta la siguiente:</w:t>
      </w:r>
      <w:r w:rsidR="00FC510B" w:rsidRPr="00FC510B">
        <w:rPr>
          <w:rFonts w:asciiTheme="majorHAnsi" w:eastAsiaTheme="minorEastAsia" w:hAnsiTheme="majorHAnsi" w:cstheme="minorHAnsi"/>
          <w:bCs/>
          <w:i/>
          <w:iCs/>
          <w:sz w:val="20"/>
          <w:szCs w:val="20"/>
          <w:lang w:val="es-AR"/>
        </w:rPr>
        <w:t xml:space="preserve"> </w:t>
      </w:r>
      <w:r w:rsidR="00FC510B" w:rsidRPr="00FC510B">
        <w:rPr>
          <w:rFonts w:asciiTheme="majorHAnsi" w:eastAsiaTheme="minorEastAsia" w:hAnsiTheme="majorHAnsi" w:cstheme="minorHAnsi"/>
          <w:bCs/>
          <w:i/>
          <w:iCs/>
          <w:sz w:val="20"/>
          <w:szCs w:val="20"/>
          <w:lang w:val="es-AR"/>
        </w:rPr>
        <w:t>R E S O L U C I O N</w:t>
      </w:r>
      <w:r w:rsidR="00FC510B" w:rsidRPr="00FC510B">
        <w:rPr>
          <w:rFonts w:asciiTheme="majorHAnsi" w:eastAsiaTheme="minorEastAsia" w:hAnsiTheme="majorHAnsi" w:cstheme="minorHAnsi"/>
          <w:bCs/>
          <w:i/>
          <w:iCs/>
          <w:sz w:val="20"/>
          <w:szCs w:val="20"/>
          <w:lang w:val="es-AR"/>
        </w:rPr>
        <w:t xml:space="preserve"> </w:t>
      </w:r>
      <w:r w:rsidR="00FC510B" w:rsidRPr="00FC510B">
        <w:rPr>
          <w:rFonts w:asciiTheme="majorHAnsi" w:eastAsiaTheme="minorEastAsia" w:hAnsiTheme="majorHAnsi" w:cstheme="minorHAnsi"/>
          <w:bCs/>
          <w:i/>
          <w:iCs/>
          <w:sz w:val="20"/>
          <w:szCs w:val="20"/>
          <w:lang w:val="es-419"/>
        </w:rPr>
        <w:t>ARTICULO 1°) Aplíquese lo dispuesto por la ordenanza N° 1768/2022.</w:t>
      </w:r>
      <w:r w:rsidR="00FC510B" w:rsidRPr="00FC510B">
        <w:rPr>
          <w:rFonts w:asciiTheme="majorHAnsi" w:eastAsiaTheme="minorEastAsia" w:hAnsiTheme="majorHAnsi" w:cstheme="minorHAnsi"/>
          <w:bCs/>
          <w:i/>
          <w:iCs/>
          <w:sz w:val="20"/>
          <w:szCs w:val="20"/>
          <w:lang w:val="es-419"/>
        </w:rPr>
        <w:t xml:space="preserve"> </w:t>
      </w:r>
      <w:r w:rsidR="00FC510B" w:rsidRPr="00FC510B">
        <w:rPr>
          <w:rFonts w:asciiTheme="majorHAnsi" w:eastAsiaTheme="minorEastAsia" w:hAnsiTheme="majorHAnsi" w:cstheme="minorHAnsi"/>
          <w:bCs/>
          <w:i/>
          <w:iCs/>
          <w:sz w:val="20"/>
          <w:szCs w:val="20"/>
          <w:lang w:val="es-419"/>
        </w:rPr>
        <w:t>ARTICULO 2°) Comuníquese, publíquese y oportunamente archívese.</w:t>
      </w:r>
      <w:r w:rsidR="00FC510B" w:rsidRPr="00FC510B">
        <w:rPr>
          <w:rFonts w:asciiTheme="majorHAnsi" w:eastAsiaTheme="minorEastAsia" w:hAnsiTheme="majorHAnsi" w:cstheme="minorHAnsi"/>
          <w:bCs/>
          <w:i/>
          <w:iCs/>
          <w:sz w:val="20"/>
          <w:szCs w:val="20"/>
          <w:lang w:val="es-419"/>
        </w:rPr>
        <w:t>”</w:t>
      </w:r>
    </w:p>
    <w:p w14:paraId="71E9A376" w14:textId="55B749BC" w:rsidR="0012278F" w:rsidRDefault="0012278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w:t>
      </w:r>
      <w:r w:rsidR="008821DC">
        <w:rPr>
          <w:rFonts w:asciiTheme="majorHAnsi" w:eastAsiaTheme="minorEastAsia" w:hAnsiTheme="majorHAnsi" w:cstheme="minorHAnsi"/>
          <w:sz w:val="22"/>
          <w:szCs w:val="22"/>
        </w:rPr>
        <w:t xml:space="preserve">Bueno, </w:t>
      </w:r>
      <w:r w:rsidR="00E962F6">
        <w:rPr>
          <w:rFonts w:asciiTheme="majorHAnsi" w:eastAsiaTheme="minorEastAsia" w:hAnsiTheme="majorHAnsi" w:cstheme="minorHAnsi"/>
          <w:sz w:val="22"/>
          <w:szCs w:val="22"/>
        </w:rPr>
        <w:t>poniéndonos</w:t>
      </w:r>
      <w:r w:rsidR="008821DC">
        <w:rPr>
          <w:rFonts w:asciiTheme="majorHAnsi" w:eastAsiaTheme="minorEastAsia" w:hAnsiTheme="majorHAnsi" w:cstheme="minorHAnsi"/>
          <w:sz w:val="22"/>
          <w:szCs w:val="22"/>
        </w:rPr>
        <w:t xml:space="preserve"> en contexto, y como se indica en la </w:t>
      </w:r>
      <w:r w:rsidR="00E962F6">
        <w:rPr>
          <w:rFonts w:asciiTheme="majorHAnsi" w:eastAsiaTheme="minorEastAsia" w:hAnsiTheme="majorHAnsi" w:cstheme="minorHAnsi"/>
          <w:sz w:val="22"/>
          <w:szCs w:val="22"/>
        </w:rPr>
        <w:t>resolución</w:t>
      </w:r>
      <w:r w:rsidR="008821DC">
        <w:rPr>
          <w:rFonts w:asciiTheme="majorHAnsi" w:eastAsiaTheme="minorEastAsia" w:hAnsiTheme="majorHAnsi" w:cstheme="minorHAnsi"/>
          <w:sz w:val="22"/>
          <w:szCs w:val="22"/>
        </w:rPr>
        <w:t>, la ordenanza 1768 del año 2022 dispone la ejecución de la obra de pavimento de 22 cuadras, dicha ordenanza también claramente contempla cómo los frentistas tenían que abonar dicha obra, ya sea de contado, con descuento, o en cuotas, lo cual implicaba una actualización, criterios que están establecidos en dicha ordenanza</w:t>
      </w:r>
      <w:r w:rsidR="00E962F6">
        <w:rPr>
          <w:rFonts w:asciiTheme="majorHAnsi" w:eastAsiaTheme="minorEastAsia" w:hAnsiTheme="majorHAnsi" w:cstheme="minorHAnsi"/>
          <w:sz w:val="22"/>
          <w:szCs w:val="22"/>
        </w:rPr>
        <w:t xml:space="preserve">. En el mes de agosto del año pasado, el Sr. Torres, un vecino de nuestra ciudad, ha presentado notas manifestando su disconformidad relacionado a la liquidación emitida por el Municipio respecto de esta obra, cuyas cuotas datan del año 2022. Ha sido citado por este Concejo, ha concurrido a una reunión con todos los integrantes de este honorable Cuerpo, y hemos podido dialogar en profundidad, teniendo sobre la mesa la ordenanza y la liquidación que él incluso acompaña en una de sus notas, hemos podido verificar de que el Municipio está haciendo efectivo el cumplimiento de la ordenanza, es por eso que decidimos, a modo de respuesta también a </w:t>
      </w:r>
      <w:r w:rsidR="00E962F6">
        <w:rPr>
          <w:rFonts w:asciiTheme="majorHAnsi" w:eastAsiaTheme="minorEastAsia" w:hAnsiTheme="majorHAnsi" w:cstheme="minorHAnsi"/>
          <w:sz w:val="22"/>
          <w:szCs w:val="22"/>
        </w:rPr>
        <w:lastRenderedPageBreak/>
        <w:t>las notas del vecino, realizar esta resolución, reitero, previa corroboración de que el Municipio está haciendo efectivo como corresponde los aumentos</w:t>
      </w:r>
    </w:p>
    <w:p w14:paraId="0BA134BF" w14:textId="11B54375" w:rsid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el proyecto de </w:t>
      </w:r>
      <w:r w:rsidR="00FC510B">
        <w:rPr>
          <w:rFonts w:asciiTheme="majorHAnsi" w:eastAsiaTheme="minorEastAsia" w:hAnsiTheme="majorHAnsi" w:cstheme="minorHAnsi"/>
          <w:sz w:val="22"/>
          <w:szCs w:val="22"/>
        </w:rPr>
        <w:t>resolución</w:t>
      </w:r>
      <w:r>
        <w:rPr>
          <w:rFonts w:asciiTheme="majorHAnsi" w:eastAsiaTheme="minorEastAsia" w:hAnsiTheme="majorHAnsi" w:cstheme="minorHAnsi"/>
          <w:sz w:val="22"/>
          <w:szCs w:val="22"/>
        </w:rPr>
        <w:t>.</w:t>
      </w:r>
    </w:p>
    <w:p w14:paraId="7F7376CB" w14:textId="0E85F49D" w:rsidR="00121B3D" w:rsidRP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77BAC2D" w14:textId="0DCE3394" w:rsidR="00CE382F" w:rsidRPr="00EB4B1A" w:rsidRDefault="001E7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FC510B">
        <w:rPr>
          <w:rFonts w:ascii="Calibri" w:eastAsiaTheme="minorEastAsia" w:hAnsi="Calibri" w:cstheme="minorBidi"/>
          <w:sz w:val="22"/>
          <w:szCs w:val="22"/>
        </w:rPr>
        <w:t>08</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0D1F" w14:textId="77777777" w:rsidR="00DC64C4" w:rsidRDefault="00DC64C4">
      <w:r>
        <w:separator/>
      </w:r>
    </w:p>
  </w:endnote>
  <w:endnote w:type="continuationSeparator" w:id="0">
    <w:p w14:paraId="677F2F30" w14:textId="77777777" w:rsidR="00DC64C4" w:rsidRDefault="00DC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743B" w14:textId="77777777" w:rsidR="00DC64C4" w:rsidRDefault="00DC64C4">
      <w:r>
        <w:separator/>
      </w:r>
    </w:p>
  </w:footnote>
  <w:footnote w:type="continuationSeparator" w:id="0">
    <w:p w14:paraId="42C9464A" w14:textId="77777777" w:rsidR="00DC64C4" w:rsidRDefault="00DC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23C5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7415551" o:spid="_x0000_i1025" type="#_x0000_t75" style="width:12.75pt;height:15pt;visibility:visible;mso-wrap-style:square" filled="t">
            <v:imagedata r:id="rId1" o:title=""/>
            <o:lock v:ext="edit" aspectratio="f"/>
          </v:shape>
        </w:pict>
      </mc:Choice>
      <mc:Fallback>
        <w:drawing>
          <wp:inline distT="0" distB="0" distL="0" distR="0" wp14:anchorId="617ECB07" wp14:editId="583FA335">
            <wp:extent cx="161925" cy="190500"/>
            <wp:effectExtent l="0" t="0" r="0" b="0"/>
            <wp:docPr id="317415551" name="Imagen 317415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1"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1"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2"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3"/>
  </w:num>
  <w:num w:numId="2" w16cid:durableId="1784616409">
    <w:abstractNumId w:val="30"/>
  </w:num>
  <w:num w:numId="3" w16cid:durableId="81689346">
    <w:abstractNumId w:val="19"/>
  </w:num>
  <w:num w:numId="4" w16cid:durableId="1145196040">
    <w:abstractNumId w:val="11"/>
  </w:num>
  <w:num w:numId="5" w16cid:durableId="1447234415">
    <w:abstractNumId w:val="24"/>
  </w:num>
  <w:num w:numId="6" w16cid:durableId="1378814749">
    <w:abstractNumId w:val="21"/>
  </w:num>
  <w:num w:numId="7" w16cid:durableId="1951353546">
    <w:abstractNumId w:val="32"/>
  </w:num>
  <w:num w:numId="8" w16cid:durableId="204295460">
    <w:abstractNumId w:val="17"/>
  </w:num>
  <w:num w:numId="9" w16cid:durableId="425811732">
    <w:abstractNumId w:val="7"/>
  </w:num>
  <w:num w:numId="10" w16cid:durableId="1913928662">
    <w:abstractNumId w:val="23"/>
  </w:num>
  <w:num w:numId="11" w16cid:durableId="1051032113">
    <w:abstractNumId w:val="3"/>
  </w:num>
  <w:num w:numId="12" w16cid:durableId="1878007122">
    <w:abstractNumId w:val="6"/>
  </w:num>
  <w:num w:numId="13" w16cid:durableId="1230966494">
    <w:abstractNumId w:val="1"/>
  </w:num>
  <w:num w:numId="14" w16cid:durableId="1745637063">
    <w:abstractNumId w:val="14"/>
  </w:num>
  <w:num w:numId="15" w16cid:durableId="809008933">
    <w:abstractNumId w:val="5"/>
  </w:num>
  <w:num w:numId="16" w16cid:durableId="479418456">
    <w:abstractNumId w:val="22"/>
  </w:num>
  <w:num w:numId="17" w16cid:durableId="838542056">
    <w:abstractNumId w:val="28"/>
  </w:num>
  <w:num w:numId="18" w16cid:durableId="699597302">
    <w:abstractNumId w:val="4"/>
  </w:num>
  <w:num w:numId="19" w16cid:durableId="1183008507">
    <w:abstractNumId w:val="20"/>
  </w:num>
  <w:num w:numId="20" w16cid:durableId="70854523">
    <w:abstractNumId w:val="33"/>
  </w:num>
  <w:num w:numId="21" w16cid:durableId="649672324">
    <w:abstractNumId w:val="12"/>
  </w:num>
  <w:num w:numId="22" w16cid:durableId="1106196256">
    <w:abstractNumId w:val="26"/>
  </w:num>
  <w:num w:numId="23" w16cid:durableId="1406413032">
    <w:abstractNumId w:val="8"/>
  </w:num>
  <w:num w:numId="24" w16cid:durableId="1553075553">
    <w:abstractNumId w:val="25"/>
  </w:num>
  <w:num w:numId="25" w16cid:durableId="511921715">
    <w:abstractNumId w:val="18"/>
  </w:num>
  <w:num w:numId="26" w16cid:durableId="371004714">
    <w:abstractNumId w:val="0"/>
  </w:num>
  <w:num w:numId="27" w16cid:durableId="26561732">
    <w:abstractNumId w:val="15"/>
  </w:num>
  <w:num w:numId="28" w16cid:durableId="1416241443">
    <w:abstractNumId w:val="9"/>
  </w:num>
  <w:num w:numId="29" w16cid:durableId="1013608021">
    <w:abstractNumId w:val="27"/>
  </w:num>
  <w:num w:numId="30" w16cid:durableId="1236936464">
    <w:abstractNumId w:val="10"/>
  </w:num>
  <w:num w:numId="31" w16cid:durableId="1945920562">
    <w:abstractNumId w:val="29"/>
  </w:num>
  <w:num w:numId="32" w16cid:durableId="104274584">
    <w:abstractNumId w:val="31"/>
  </w:num>
  <w:num w:numId="33" w16cid:durableId="836727444">
    <w:abstractNumId w:val="16"/>
  </w:num>
  <w:num w:numId="34" w16cid:durableId="1924205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370C"/>
    <w:rsid w:val="00054006"/>
    <w:rsid w:val="00055D45"/>
    <w:rsid w:val="00060110"/>
    <w:rsid w:val="00060560"/>
    <w:rsid w:val="0006240D"/>
    <w:rsid w:val="000626FB"/>
    <w:rsid w:val="000646CD"/>
    <w:rsid w:val="0006560F"/>
    <w:rsid w:val="00066D65"/>
    <w:rsid w:val="00067FEE"/>
    <w:rsid w:val="000705F8"/>
    <w:rsid w:val="000733E4"/>
    <w:rsid w:val="000736C4"/>
    <w:rsid w:val="00075427"/>
    <w:rsid w:val="0007583C"/>
    <w:rsid w:val="00076A8C"/>
    <w:rsid w:val="000770A8"/>
    <w:rsid w:val="0008014F"/>
    <w:rsid w:val="000831D7"/>
    <w:rsid w:val="00083A80"/>
    <w:rsid w:val="0008455D"/>
    <w:rsid w:val="00085F4B"/>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281"/>
    <w:rsid w:val="000D555B"/>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B3D"/>
    <w:rsid w:val="00121D3E"/>
    <w:rsid w:val="0012278F"/>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4FD6"/>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1289"/>
    <w:rsid w:val="002A1E7F"/>
    <w:rsid w:val="002A25EF"/>
    <w:rsid w:val="002A38A0"/>
    <w:rsid w:val="002A4B2F"/>
    <w:rsid w:val="002A63D0"/>
    <w:rsid w:val="002A67D3"/>
    <w:rsid w:val="002A7335"/>
    <w:rsid w:val="002A7D66"/>
    <w:rsid w:val="002B05D8"/>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D9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4F38"/>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33F1"/>
    <w:rsid w:val="0061586B"/>
    <w:rsid w:val="0062078F"/>
    <w:rsid w:val="0062156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2E5E"/>
    <w:rsid w:val="006C43E9"/>
    <w:rsid w:val="006C551D"/>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345F"/>
    <w:rsid w:val="00743F04"/>
    <w:rsid w:val="0074478F"/>
    <w:rsid w:val="007460A7"/>
    <w:rsid w:val="007524DD"/>
    <w:rsid w:val="00752856"/>
    <w:rsid w:val="00752CAB"/>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86596"/>
    <w:rsid w:val="00B90F4A"/>
    <w:rsid w:val="00B90FE4"/>
    <w:rsid w:val="00B91B47"/>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5257"/>
    <w:rsid w:val="00CF54DB"/>
    <w:rsid w:val="00CF554B"/>
    <w:rsid w:val="00CF61A3"/>
    <w:rsid w:val="00CF6879"/>
    <w:rsid w:val="00D004D6"/>
    <w:rsid w:val="00D01187"/>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4C4"/>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2D4"/>
    <w:rsid w:val="00E104CF"/>
    <w:rsid w:val="00E1237A"/>
    <w:rsid w:val="00E13057"/>
    <w:rsid w:val="00E1497E"/>
    <w:rsid w:val="00E14DE0"/>
    <w:rsid w:val="00E15EE6"/>
    <w:rsid w:val="00E171C8"/>
    <w:rsid w:val="00E201F7"/>
    <w:rsid w:val="00E20390"/>
    <w:rsid w:val="00E2093D"/>
    <w:rsid w:val="00E21059"/>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37AA5"/>
    <w:rsid w:val="00F44401"/>
    <w:rsid w:val="00F4651C"/>
    <w:rsid w:val="00F47AD8"/>
    <w:rsid w:val="00F502EE"/>
    <w:rsid w:val="00F508C4"/>
    <w:rsid w:val="00F50A86"/>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4BB5"/>
    <w:rsid w:val="00F963F3"/>
    <w:rsid w:val="00F969AE"/>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510B"/>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4</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7656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4</cp:revision>
  <cp:lastPrinted>2025-01-31T15:23:00Z</cp:lastPrinted>
  <dcterms:created xsi:type="dcterms:W3CDTF">2025-01-30T11:54:00Z</dcterms:created>
  <dcterms:modified xsi:type="dcterms:W3CDTF">2025-01-31T15:55:00Z</dcterms:modified>
</cp:coreProperties>
</file>